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5E010" w14:textId="23F6CAED"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E97903">
        <w:rPr>
          <w:rFonts w:ascii="Arial" w:hAnsi="Arial" w:cs="Arial"/>
          <w:b/>
          <w:sz w:val="24"/>
        </w:rPr>
        <w:t>8</w:t>
      </w:r>
      <w:r w:rsidR="00D14560">
        <w:rPr>
          <w:rFonts w:ascii="Arial" w:hAnsi="Arial" w:cs="Arial"/>
          <w:b/>
          <w:sz w:val="24"/>
        </w:rPr>
        <w:t>8</w:t>
      </w:r>
      <w:r w:rsidRPr="00DA12F7">
        <w:rPr>
          <w:rFonts w:ascii="Arial" w:hAnsi="Arial" w:cs="Arial"/>
          <w:b/>
          <w:sz w:val="24"/>
        </w:rPr>
        <w:tab/>
        <w:t>R1-</w:t>
      </w:r>
      <w:r w:rsidR="00553FCF" w:rsidRPr="00553FCF">
        <w:rPr>
          <w:rFonts w:ascii="Arial" w:hAnsi="Arial" w:cs="Arial"/>
          <w:b/>
          <w:sz w:val="24"/>
        </w:rPr>
        <w:t>1702566</w:t>
      </w:r>
    </w:p>
    <w:p w14:paraId="13C19C48" w14:textId="318BE4D1" w:rsidR="00FD45CD" w:rsidRPr="00DA12F7" w:rsidRDefault="00D14560" w:rsidP="00FD45CD">
      <w:pPr>
        <w:tabs>
          <w:tab w:val="right" w:pos="9630"/>
        </w:tabs>
        <w:spacing w:after="0"/>
        <w:rPr>
          <w:rFonts w:ascii="Arial" w:hAnsi="Arial" w:cs="Arial"/>
          <w:b/>
          <w:sz w:val="24"/>
          <w:szCs w:val="24"/>
        </w:rPr>
      </w:pPr>
      <w:r>
        <w:rPr>
          <w:rFonts w:ascii="Arial" w:hAnsi="Arial" w:cs="Arial"/>
          <w:b/>
          <w:sz w:val="24"/>
          <w:szCs w:val="24"/>
        </w:rPr>
        <w:t>February</w:t>
      </w:r>
      <w:r w:rsidR="00E97903">
        <w:rPr>
          <w:rFonts w:ascii="Arial" w:hAnsi="Arial" w:cs="Arial"/>
          <w:b/>
          <w:sz w:val="24"/>
          <w:szCs w:val="24"/>
        </w:rPr>
        <w:t xml:space="preserve"> </w:t>
      </w:r>
      <w:r w:rsidR="004C4DD9">
        <w:rPr>
          <w:rFonts w:ascii="Arial" w:hAnsi="Arial" w:cs="Arial"/>
          <w:b/>
          <w:sz w:val="24"/>
          <w:szCs w:val="24"/>
        </w:rPr>
        <w:t>1</w:t>
      </w:r>
      <w:r>
        <w:rPr>
          <w:rFonts w:ascii="Arial" w:hAnsi="Arial" w:cs="Arial"/>
          <w:b/>
          <w:sz w:val="24"/>
          <w:szCs w:val="24"/>
        </w:rPr>
        <w:t>3</w:t>
      </w:r>
      <w:r w:rsidR="004C4DD9">
        <w:rPr>
          <w:rFonts w:ascii="Arial" w:hAnsi="Arial" w:cs="Arial"/>
          <w:b/>
          <w:sz w:val="24"/>
          <w:szCs w:val="24"/>
          <w:vertAlign w:val="superscript"/>
        </w:rPr>
        <w:t>th</w:t>
      </w:r>
      <w:r w:rsidR="00485E94">
        <w:rPr>
          <w:rFonts w:ascii="Arial" w:hAnsi="Arial" w:cs="Arial"/>
          <w:b/>
          <w:sz w:val="24"/>
          <w:szCs w:val="24"/>
        </w:rPr>
        <w:t>–</w:t>
      </w:r>
      <w:r w:rsidR="004C4DD9">
        <w:rPr>
          <w:rFonts w:ascii="Arial" w:hAnsi="Arial" w:cs="Arial"/>
          <w:b/>
          <w:sz w:val="24"/>
          <w:szCs w:val="24"/>
        </w:rPr>
        <w:t>1</w:t>
      </w:r>
      <w:r>
        <w:rPr>
          <w:rFonts w:ascii="Arial" w:hAnsi="Arial" w:cs="Arial"/>
          <w:b/>
          <w:sz w:val="24"/>
          <w:szCs w:val="24"/>
        </w:rPr>
        <w:t>7</w:t>
      </w:r>
      <w:r w:rsidR="00DB30AC" w:rsidRPr="0064244B">
        <w:rPr>
          <w:rFonts w:ascii="Arial" w:hAnsi="Arial" w:cs="Arial"/>
          <w:b/>
          <w:sz w:val="24"/>
          <w:szCs w:val="24"/>
          <w:vertAlign w:val="superscript"/>
        </w:rPr>
        <w:t>th</w:t>
      </w:r>
      <w:r w:rsidR="00FD45CD" w:rsidRPr="00DA12F7">
        <w:rPr>
          <w:rFonts w:ascii="Arial" w:hAnsi="Arial" w:cs="Arial"/>
          <w:b/>
          <w:sz w:val="24"/>
          <w:szCs w:val="24"/>
        </w:rPr>
        <w:t>, 201</w:t>
      </w:r>
      <w:r>
        <w:rPr>
          <w:rFonts w:ascii="Arial" w:hAnsi="Arial" w:cs="Arial"/>
          <w:b/>
          <w:sz w:val="24"/>
          <w:szCs w:val="24"/>
        </w:rPr>
        <w:t>7</w:t>
      </w:r>
    </w:p>
    <w:p w14:paraId="0595412A" w14:textId="2ABEC7C2" w:rsidR="00FD45CD" w:rsidRPr="00DA12F7" w:rsidRDefault="00D14560" w:rsidP="00FD45CD">
      <w:pPr>
        <w:rPr>
          <w:rFonts w:ascii="Arial" w:hAnsi="Arial" w:cs="Arial"/>
          <w:b/>
          <w:sz w:val="24"/>
          <w:szCs w:val="24"/>
        </w:rPr>
      </w:pPr>
      <w:r>
        <w:rPr>
          <w:rFonts w:ascii="Arial" w:hAnsi="Arial" w:cs="Arial"/>
          <w:b/>
          <w:sz w:val="24"/>
          <w:szCs w:val="24"/>
        </w:rPr>
        <w:t>Athens</w:t>
      </w:r>
      <w:r w:rsidR="00A20EB0">
        <w:rPr>
          <w:rFonts w:ascii="Arial" w:hAnsi="Arial" w:cs="Arial"/>
          <w:b/>
          <w:sz w:val="24"/>
          <w:szCs w:val="24"/>
        </w:rPr>
        <w:t xml:space="preserve">, </w:t>
      </w:r>
      <w:r>
        <w:rPr>
          <w:rFonts w:ascii="Arial" w:hAnsi="Arial" w:cs="Arial"/>
          <w:b/>
          <w:sz w:val="24"/>
          <w:szCs w:val="24"/>
        </w:rPr>
        <w:t>Greece</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911F8FC"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D14560">
        <w:rPr>
          <w:rFonts w:ascii="Arial" w:hAnsi="Arial"/>
          <w:sz w:val="24"/>
        </w:rPr>
        <w:t>7.</w:t>
      </w:r>
      <w:r w:rsidR="00B2388A">
        <w:rPr>
          <w:rFonts w:ascii="Arial" w:hAnsi="Arial"/>
          <w:sz w:val="24"/>
        </w:rPr>
        <w:t>2</w:t>
      </w:r>
      <w:r w:rsidR="00155BCB">
        <w:rPr>
          <w:rFonts w:ascii="Arial" w:hAnsi="Arial"/>
          <w:sz w:val="24"/>
        </w:rPr>
        <w:t>.</w:t>
      </w:r>
      <w:r w:rsidR="00D14560">
        <w:rPr>
          <w:rFonts w:ascii="Arial" w:hAnsi="Arial"/>
          <w:sz w:val="24"/>
        </w:rPr>
        <w:t>5</w:t>
      </w:r>
      <w:r w:rsidR="00155BCB">
        <w:rPr>
          <w:rFonts w:ascii="Arial" w:hAnsi="Arial"/>
          <w:sz w:val="24"/>
        </w:rPr>
        <w:t>.</w:t>
      </w:r>
      <w:r w:rsidR="006034B0">
        <w:rPr>
          <w:rFonts w:ascii="Arial" w:hAnsi="Arial"/>
          <w:sz w:val="24"/>
        </w:rPr>
        <w:t>2</w:t>
      </w:r>
      <w:r w:rsidR="00D14560">
        <w:rPr>
          <w:rFonts w:ascii="Arial" w:hAnsi="Arial"/>
          <w:sz w:val="24"/>
        </w:rPr>
        <w:t>.4</w:t>
      </w:r>
      <w:r w:rsidR="006034B0">
        <w:rPr>
          <w:rFonts w:ascii="Arial" w:hAnsi="Arial"/>
          <w:sz w:val="24"/>
        </w:rPr>
        <w:t>.</w:t>
      </w:r>
      <w:r w:rsidR="00553FC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5171E49"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B578A">
        <w:rPr>
          <w:rFonts w:ascii="Arial" w:hAnsi="Arial"/>
          <w:sz w:val="24"/>
        </w:rPr>
        <w:t>Design Details of the Shortened PDSCH</w:t>
      </w:r>
      <w:r w:rsidR="00A20EB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75C7A5B3" w:rsidR="004C7384" w:rsidRDefault="00D127A5" w:rsidP="00F30894">
      <w:pPr>
        <w:jc w:val="both"/>
      </w:pPr>
      <w:r>
        <w:t>In RAN1 #86b and #87, the following agreements are reached, respectively:</w:t>
      </w:r>
    </w:p>
    <w:p w14:paraId="279A22E6" w14:textId="77777777" w:rsidR="00112035" w:rsidRPr="00D127A5" w:rsidRDefault="008830F5" w:rsidP="00D127A5">
      <w:pPr>
        <w:pStyle w:val="ListParagraph"/>
        <w:numPr>
          <w:ilvl w:val="0"/>
          <w:numId w:val="39"/>
        </w:numPr>
        <w:jc w:val="both"/>
        <w:rPr>
          <w:i/>
          <w:sz w:val="20"/>
        </w:rPr>
      </w:pPr>
      <w:r w:rsidRPr="00D127A5">
        <w:rPr>
          <w:rFonts w:eastAsiaTheme="minorEastAsia"/>
          <w:i/>
          <w:sz w:val="20"/>
        </w:rPr>
        <w:t>For DL transmission for sTTI</w:t>
      </w:r>
    </w:p>
    <w:p w14:paraId="5F399836" w14:textId="77777777" w:rsidR="00112035" w:rsidRPr="00D127A5" w:rsidRDefault="008830F5" w:rsidP="00D127A5">
      <w:pPr>
        <w:pStyle w:val="ListParagraph"/>
        <w:numPr>
          <w:ilvl w:val="1"/>
          <w:numId w:val="39"/>
        </w:numPr>
        <w:jc w:val="both"/>
        <w:rPr>
          <w:i/>
          <w:sz w:val="20"/>
        </w:rPr>
      </w:pPr>
      <w:r w:rsidRPr="00D127A5">
        <w:rPr>
          <w:rFonts w:eastAsiaTheme="minorEastAsia"/>
          <w:i/>
          <w:sz w:val="20"/>
        </w:rPr>
        <w:t>TM1, 2, 3, 4, 6, 9, 10 are supported for FS1.</w:t>
      </w:r>
    </w:p>
    <w:p w14:paraId="3F913479" w14:textId="77777777" w:rsidR="00112035" w:rsidRPr="00D127A5" w:rsidRDefault="008830F5" w:rsidP="00D127A5">
      <w:pPr>
        <w:pStyle w:val="ListParagraph"/>
        <w:numPr>
          <w:ilvl w:val="1"/>
          <w:numId w:val="39"/>
        </w:numPr>
        <w:jc w:val="both"/>
        <w:rPr>
          <w:i/>
          <w:sz w:val="20"/>
        </w:rPr>
      </w:pPr>
      <w:r w:rsidRPr="00D127A5">
        <w:rPr>
          <w:rFonts w:eastAsiaTheme="minorEastAsia"/>
          <w:i/>
          <w:sz w:val="20"/>
        </w:rPr>
        <w:t>TM1, 2, 3, 4, 6, 8, 9, 10 are supported for slot based sTTI for FS2.</w:t>
      </w:r>
    </w:p>
    <w:p w14:paraId="4096CC2A" w14:textId="5D1048D7" w:rsidR="00112035" w:rsidRPr="00D127A5" w:rsidRDefault="008830F5" w:rsidP="00D127A5">
      <w:pPr>
        <w:pStyle w:val="ListParagraph"/>
        <w:numPr>
          <w:ilvl w:val="1"/>
          <w:numId w:val="39"/>
        </w:numPr>
        <w:jc w:val="both"/>
        <w:rPr>
          <w:i/>
          <w:sz w:val="20"/>
        </w:rPr>
      </w:pPr>
      <w:r w:rsidRPr="00D127A5">
        <w:rPr>
          <w:rFonts w:eastAsiaTheme="minorEastAsia"/>
          <w:i/>
          <w:sz w:val="20"/>
        </w:rPr>
        <w:t>Note: For 2 symbol sTTI design TM8 is not supported in this WI</w:t>
      </w:r>
      <w:r w:rsidR="00D127A5" w:rsidRPr="00D127A5">
        <w:rPr>
          <w:rFonts w:eastAsiaTheme="minorEastAsia"/>
          <w:i/>
          <w:sz w:val="20"/>
        </w:rPr>
        <w:t>.</w:t>
      </w:r>
    </w:p>
    <w:p w14:paraId="17F2BEBD" w14:textId="77777777" w:rsidR="00D127A5" w:rsidRPr="00D127A5" w:rsidRDefault="00D127A5" w:rsidP="00D127A5">
      <w:pPr>
        <w:jc w:val="both"/>
        <w:rPr>
          <w:i/>
        </w:rPr>
      </w:pPr>
    </w:p>
    <w:p w14:paraId="500812CC" w14:textId="3E3B71B7" w:rsidR="00112035" w:rsidRPr="00D127A5" w:rsidRDefault="008830F5" w:rsidP="00D127A5">
      <w:pPr>
        <w:pStyle w:val="ListParagraph"/>
        <w:numPr>
          <w:ilvl w:val="0"/>
          <w:numId w:val="39"/>
        </w:numPr>
        <w:jc w:val="both"/>
        <w:rPr>
          <w:i/>
          <w:sz w:val="20"/>
        </w:rPr>
      </w:pPr>
      <w:r w:rsidRPr="00D127A5">
        <w:rPr>
          <w:rFonts w:eastAsiaTheme="minorEastAsia"/>
          <w:i/>
          <w:sz w:val="20"/>
        </w:rPr>
        <w:t>A UE can be dynamically (with a subframe to subframe granularity) scheduled with legacy TTI unicast PDSCH and/or short TTI unicast PDSCH</w:t>
      </w:r>
      <w:r w:rsidR="00D127A5" w:rsidRPr="00D127A5">
        <w:rPr>
          <w:rFonts w:eastAsiaTheme="minorEastAsia"/>
          <w:i/>
          <w:sz w:val="20"/>
        </w:rPr>
        <w:t>.</w:t>
      </w:r>
    </w:p>
    <w:p w14:paraId="60C5F5B9" w14:textId="098647C9" w:rsidR="00112035" w:rsidRPr="00D127A5" w:rsidRDefault="008830F5" w:rsidP="00D127A5">
      <w:pPr>
        <w:pStyle w:val="ListParagraph"/>
        <w:numPr>
          <w:ilvl w:val="0"/>
          <w:numId w:val="39"/>
        </w:numPr>
        <w:jc w:val="both"/>
        <w:rPr>
          <w:i/>
          <w:sz w:val="20"/>
        </w:rPr>
      </w:pPr>
      <w:r w:rsidRPr="00D127A5">
        <w:rPr>
          <w:rFonts w:eastAsiaTheme="minorEastAsia"/>
          <w:i/>
          <w:sz w:val="20"/>
        </w:rPr>
        <w:t>If the UE is indicating the capability of decoding PDSCH and sPDSCH assigned with C-RNTI/SPS C-RNTI in the same subframe for a given carrier</w:t>
      </w:r>
      <w:r w:rsidR="00D127A5" w:rsidRPr="00D127A5">
        <w:rPr>
          <w:rFonts w:eastAsiaTheme="minorEastAsia"/>
          <w:i/>
          <w:sz w:val="20"/>
        </w:rPr>
        <w:t>.</w:t>
      </w:r>
    </w:p>
    <w:p w14:paraId="25709D57" w14:textId="74A2F65B" w:rsidR="00112035" w:rsidRPr="00D127A5" w:rsidRDefault="008830F5" w:rsidP="00D127A5">
      <w:pPr>
        <w:pStyle w:val="ListParagraph"/>
        <w:numPr>
          <w:ilvl w:val="1"/>
          <w:numId w:val="39"/>
        </w:numPr>
        <w:jc w:val="both"/>
        <w:rPr>
          <w:i/>
          <w:sz w:val="20"/>
        </w:rPr>
      </w:pPr>
      <w:r w:rsidRPr="00D127A5">
        <w:rPr>
          <w:rFonts w:eastAsiaTheme="minorEastAsia"/>
          <w:i/>
          <w:sz w:val="20"/>
        </w:rPr>
        <w:t>If valid DL assignments are detected based on C-RNTI/SPS C-RNTI in PDCCH/EPDCCH for PDSCH and PDCCH/sPDCCH for sPDSCH in the same subframe for a given carrier, the UE should decode the PDSCH in addition to sPDSCH</w:t>
      </w:r>
      <w:r w:rsidR="00D127A5" w:rsidRPr="00D127A5">
        <w:rPr>
          <w:rFonts w:eastAsiaTheme="minorEastAsia"/>
          <w:i/>
          <w:sz w:val="20"/>
        </w:rPr>
        <w:t>.</w:t>
      </w:r>
    </w:p>
    <w:p w14:paraId="6C50D1FE" w14:textId="2AD1EB15" w:rsidR="00112035" w:rsidRPr="00D127A5" w:rsidRDefault="008830F5" w:rsidP="00D127A5">
      <w:pPr>
        <w:pStyle w:val="ListParagraph"/>
        <w:numPr>
          <w:ilvl w:val="2"/>
          <w:numId w:val="39"/>
        </w:numPr>
        <w:jc w:val="both"/>
        <w:rPr>
          <w:i/>
          <w:sz w:val="20"/>
        </w:rPr>
      </w:pPr>
      <w:r w:rsidRPr="00D127A5">
        <w:rPr>
          <w:rFonts w:eastAsiaTheme="minorEastAsia"/>
          <w:i/>
          <w:sz w:val="20"/>
        </w:rPr>
        <w:t>UE shall provide HARQ-ACK feedback for both PDSCH and sPDSCH</w:t>
      </w:r>
      <w:r w:rsidR="00D127A5" w:rsidRPr="00D127A5">
        <w:rPr>
          <w:rFonts w:eastAsiaTheme="minorEastAsia"/>
          <w:i/>
          <w:sz w:val="20"/>
        </w:rPr>
        <w:t>.</w:t>
      </w:r>
    </w:p>
    <w:p w14:paraId="7394F0BC" w14:textId="52345F5E" w:rsidR="00112035" w:rsidRPr="00D127A5" w:rsidRDefault="008830F5" w:rsidP="00D127A5">
      <w:pPr>
        <w:pStyle w:val="ListParagraph"/>
        <w:numPr>
          <w:ilvl w:val="2"/>
          <w:numId w:val="39"/>
        </w:numPr>
        <w:jc w:val="both"/>
        <w:rPr>
          <w:i/>
          <w:sz w:val="20"/>
        </w:rPr>
      </w:pPr>
      <w:r w:rsidRPr="00D127A5">
        <w:rPr>
          <w:rFonts w:eastAsiaTheme="minorEastAsia"/>
          <w:i/>
          <w:sz w:val="20"/>
        </w:rPr>
        <w:t>No special consideration is specified for overlapping of sPDSCH and PDSCH</w:t>
      </w:r>
      <w:r w:rsidR="00D127A5" w:rsidRPr="00D127A5">
        <w:rPr>
          <w:rFonts w:eastAsiaTheme="minorEastAsia"/>
          <w:i/>
          <w:sz w:val="20"/>
        </w:rPr>
        <w:t>.</w:t>
      </w:r>
    </w:p>
    <w:p w14:paraId="33E4590E" w14:textId="77777777" w:rsidR="00112035" w:rsidRPr="00D127A5" w:rsidRDefault="008830F5" w:rsidP="00D127A5">
      <w:pPr>
        <w:pStyle w:val="ListParagraph"/>
        <w:numPr>
          <w:ilvl w:val="1"/>
          <w:numId w:val="39"/>
        </w:numPr>
        <w:jc w:val="both"/>
        <w:rPr>
          <w:i/>
          <w:sz w:val="20"/>
        </w:rPr>
      </w:pPr>
      <w:r w:rsidRPr="00D127A5">
        <w:rPr>
          <w:rFonts w:eastAsiaTheme="minorEastAsia"/>
          <w:i/>
          <w:sz w:val="20"/>
        </w:rPr>
        <w:t>Otherwise</w:t>
      </w:r>
    </w:p>
    <w:p w14:paraId="5A393232" w14:textId="7F7C9660" w:rsidR="00112035" w:rsidRPr="00D127A5" w:rsidRDefault="008830F5" w:rsidP="00D127A5">
      <w:pPr>
        <w:pStyle w:val="ListParagraph"/>
        <w:numPr>
          <w:ilvl w:val="0"/>
          <w:numId w:val="39"/>
        </w:numPr>
        <w:ind w:left="936"/>
        <w:jc w:val="both"/>
        <w:rPr>
          <w:i/>
          <w:sz w:val="20"/>
        </w:rPr>
      </w:pPr>
      <w:r w:rsidRPr="00D127A5">
        <w:rPr>
          <w:rFonts w:eastAsiaTheme="minorEastAsia"/>
          <w:i/>
          <w:sz w:val="20"/>
        </w:rPr>
        <w:t>If valid DL assignments are detected based on C-RNTI/SPS C-RNTI in PDCCH/EPDCCH for PDSCH and PDCCH/sPDCCH for sPDSCH in the same subframe for a given carrier, the UE should decode the sPDSCH and is not required to decode PDSCH</w:t>
      </w:r>
      <w:r w:rsidR="00D127A5" w:rsidRPr="00D127A5">
        <w:rPr>
          <w:rFonts w:eastAsiaTheme="minorEastAsia"/>
          <w:i/>
          <w:sz w:val="20"/>
        </w:rPr>
        <w:t>.</w:t>
      </w:r>
    </w:p>
    <w:p w14:paraId="5F478646" w14:textId="69A1CF18" w:rsidR="00112035" w:rsidRPr="00D127A5" w:rsidRDefault="008830F5" w:rsidP="00D127A5">
      <w:pPr>
        <w:pStyle w:val="ListParagraph"/>
        <w:numPr>
          <w:ilvl w:val="1"/>
          <w:numId w:val="39"/>
        </w:numPr>
        <w:jc w:val="both"/>
        <w:rPr>
          <w:i/>
          <w:sz w:val="20"/>
        </w:rPr>
      </w:pPr>
      <w:r w:rsidRPr="00D127A5">
        <w:rPr>
          <w:rFonts w:eastAsiaTheme="minorEastAsia"/>
          <w:i/>
          <w:sz w:val="20"/>
        </w:rPr>
        <w:t>UE shall provide HARQ-ACK feedback for both PDSCH and sPDSCH</w:t>
      </w:r>
      <w:r w:rsidR="00D127A5" w:rsidRPr="00D127A5">
        <w:rPr>
          <w:rFonts w:eastAsiaTheme="minorEastAsia"/>
          <w:i/>
          <w:sz w:val="20"/>
        </w:rPr>
        <w:t>.</w:t>
      </w:r>
    </w:p>
    <w:p w14:paraId="4C892488" w14:textId="77777777" w:rsidR="00D127A5" w:rsidRPr="00D127A5" w:rsidRDefault="00D127A5" w:rsidP="00D127A5">
      <w:pPr>
        <w:ind w:left="216"/>
        <w:jc w:val="both"/>
      </w:pPr>
    </w:p>
    <w:p w14:paraId="0B6C83FD" w14:textId="2CD87774" w:rsidR="00D127A5" w:rsidRDefault="00D127A5" w:rsidP="00D127A5">
      <w:pPr>
        <w:jc w:val="both"/>
      </w:pPr>
      <w:r>
        <w:t>In this contribution paper, we present the following topics related to the design of sPDSCH in low latency LTE systems:</w:t>
      </w:r>
    </w:p>
    <w:p w14:paraId="01CD767C" w14:textId="5DA9E393" w:rsidR="00932C4B" w:rsidRPr="00932C4B" w:rsidRDefault="00D127A5" w:rsidP="00932C4B">
      <w:pPr>
        <w:pStyle w:val="ListParagraph"/>
        <w:numPr>
          <w:ilvl w:val="0"/>
          <w:numId w:val="43"/>
        </w:numPr>
        <w:jc w:val="both"/>
        <w:rPr>
          <w:sz w:val="20"/>
        </w:rPr>
      </w:pPr>
      <w:r w:rsidRPr="00932C4B">
        <w:rPr>
          <w:sz w:val="20"/>
        </w:rPr>
        <w:t>The implication of the agreement made in RAN1 #87 presented above, and possible modifications.</w:t>
      </w:r>
    </w:p>
    <w:p w14:paraId="02D827F5" w14:textId="299284D7" w:rsidR="00D127A5" w:rsidRPr="00932C4B" w:rsidRDefault="00D127A5" w:rsidP="00D127A5">
      <w:pPr>
        <w:pStyle w:val="ListParagraph"/>
        <w:numPr>
          <w:ilvl w:val="0"/>
          <w:numId w:val="43"/>
        </w:numPr>
        <w:jc w:val="both"/>
        <w:rPr>
          <w:sz w:val="20"/>
        </w:rPr>
      </w:pPr>
      <w:r w:rsidRPr="00932C4B">
        <w:rPr>
          <w:sz w:val="20"/>
        </w:rPr>
        <w:t>sPDSCH resource allocation</w:t>
      </w:r>
    </w:p>
    <w:p w14:paraId="3A3F4DA5" w14:textId="73E4E57E" w:rsidR="00D127A5" w:rsidRPr="00932C4B" w:rsidRDefault="00D127A5" w:rsidP="00D127A5">
      <w:pPr>
        <w:pStyle w:val="ListParagraph"/>
        <w:numPr>
          <w:ilvl w:val="0"/>
          <w:numId w:val="43"/>
        </w:numPr>
        <w:jc w:val="both"/>
        <w:rPr>
          <w:sz w:val="20"/>
        </w:rPr>
      </w:pPr>
      <w:r w:rsidRPr="00932C4B">
        <w:rPr>
          <w:sz w:val="20"/>
        </w:rPr>
        <w:t>TBS scaling</w:t>
      </w:r>
    </w:p>
    <w:p w14:paraId="2D2B6B7F" w14:textId="0F93D47C" w:rsidR="00D127A5" w:rsidRPr="00932C4B" w:rsidRDefault="00932C4B" w:rsidP="00F30894">
      <w:pPr>
        <w:pStyle w:val="ListParagraph"/>
        <w:numPr>
          <w:ilvl w:val="0"/>
          <w:numId w:val="43"/>
        </w:numPr>
        <w:jc w:val="both"/>
        <w:rPr>
          <w:sz w:val="20"/>
        </w:rPr>
      </w:pPr>
      <w:r w:rsidRPr="00932C4B">
        <w:rPr>
          <w:sz w:val="20"/>
        </w:rPr>
        <w:t>Number of CWs and Layers.</w:t>
      </w:r>
    </w:p>
    <w:p w14:paraId="488AD007" w14:textId="77777777" w:rsidR="00491EEE" w:rsidRDefault="00491EEE" w:rsidP="00F30894">
      <w:pPr>
        <w:pStyle w:val="Heading1"/>
        <w:jc w:val="both"/>
      </w:pPr>
      <w:r w:rsidRPr="00CC27F5">
        <w:t>2</w:t>
      </w:r>
      <w:r w:rsidRPr="00CC27F5">
        <w:tab/>
      </w:r>
      <w:r w:rsidR="002E53CF">
        <w:t>Discussion</w:t>
      </w:r>
    </w:p>
    <w:p w14:paraId="6F32F37D" w14:textId="7CD1023C" w:rsidR="00932C4B" w:rsidRDefault="00932C4B" w:rsidP="00932C4B">
      <w:pPr>
        <w:pStyle w:val="Heading3"/>
        <w:keepNext/>
        <w:keepLines/>
        <w:numPr>
          <w:ilvl w:val="1"/>
          <w:numId w:val="44"/>
        </w:numPr>
        <w:jc w:val="both"/>
      </w:pPr>
      <w:r>
        <w:t xml:space="preserve">   Simultaneous Processing of </w:t>
      </w:r>
      <w:r w:rsidR="00755A2F">
        <w:t>Unicast PDSCH and sPDSCH</w:t>
      </w:r>
    </w:p>
    <w:p w14:paraId="5CC0430A" w14:textId="3EF3C27A" w:rsidR="00932C4B" w:rsidRDefault="00932C4B" w:rsidP="006034B0">
      <w:pPr>
        <w:jc w:val="both"/>
        <w:rPr>
          <w:lang w:val="en-GB"/>
        </w:rPr>
      </w:pPr>
      <w:r>
        <w:rPr>
          <w:lang w:val="en-GB"/>
        </w:rPr>
        <w:t xml:space="preserve">As mentioned in Section 1, in RAN1 #87, it was decided to define the UE behaviour in terms of decoding </w:t>
      </w:r>
      <w:r w:rsidR="006034B0">
        <w:rPr>
          <w:lang w:val="en-GB"/>
        </w:rPr>
        <w:t xml:space="preserve">the </w:t>
      </w:r>
      <w:r>
        <w:rPr>
          <w:lang w:val="en-GB"/>
        </w:rPr>
        <w:t>1ms and sTTI traffics based</w:t>
      </w:r>
      <w:r w:rsidR="006034B0">
        <w:rPr>
          <w:lang w:val="en-GB"/>
        </w:rPr>
        <w:t xml:space="preserve"> on the</w:t>
      </w:r>
      <w:r w:rsidR="00BF4C34">
        <w:rPr>
          <w:lang w:val="en-GB"/>
        </w:rPr>
        <w:t xml:space="preserve"> UE</w:t>
      </w:r>
      <w:r>
        <w:rPr>
          <w:lang w:val="en-GB"/>
        </w:rPr>
        <w:t xml:space="preserve"> capability. In particular, when scheduled over a given carrier and subframe, if a UE is capable, then it must decode both </w:t>
      </w:r>
      <w:r w:rsidR="006034B0">
        <w:rPr>
          <w:lang w:val="en-GB"/>
        </w:rPr>
        <w:t xml:space="preserve">unicast </w:t>
      </w:r>
      <w:r>
        <w:rPr>
          <w:lang w:val="en-GB"/>
        </w:rPr>
        <w:t xml:space="preserve">PSDCH and sPSDCH. Otherwise, the UE is not required to decode </w:t>
      </w:r>
      <w:r w:rsidR="006034B0">
        <w:rPr>
          <w:lang w:val="en-GB"/>
        </w:rPr>
        <w:t xml:space="preserve">the unicast </w:t>
      </w:r>
      <w:r>
        <w:rPr>
          <w:lang w:val="en-GB"/>
        </w:rPr>
        <w:t xml:space="preserve">PDSCH. </w:t>
      </w:r>
    </w:p>
    <w:p w14:paraId="6F4A8585" w14:textId="3529CD89" w:rsidR="00755A2F" w:rsidRDefault="00932C4B" w:rsidP="006034B0">
      <w:pPr>
        <w:jc w:val="both"/>
        <w:rPr>
          <w:lang w:val="en-GB"/>
        </w:rPr>
      </w:pPr>
      <w:r>
        <w:rPr>
          <w:lang w:val="en-GB"/>
        </w:rPr>
        <w:t xml:space="preserve">From the UE implementation point of view, </w:t>
      </w:r>
      <w:r w:rsidR="005E0EB9">
        <w:rPr>
          <w:lang w:val="en-GB"/>
        </w:rPr>
        <w:t xml:space="preserve">the processing of a </w:t>
      </w:r>
      <w:r w:rsidR="006034B0">
        <w:rPr>
          <w:lang w:val="en-GB"/>
        </w:rPr>
        <w:t xml:space="preserve">unicast </w:t>
      </w:r>
      <w:r w:rsidR="005E0EB9">
        <w:rPr>
          <w:lang w:val="en-GB"/>
        </w:rPr>
        <w:t xml:space="preserve">PDSCH received in subframe </w:t>
      </w:r>
      <m:oMath>
        <m:r>
          <w:rPr>
            <w:rFonts w:ascii="Cambria Math" w:hAnsi="Cambria Math"/>
            <w:lang w:val="en-GB"/>
          </w:rPr>
          <m:t>n</m:t>
        </m:r>
      </m:oMath>
      <w:r w:rsidR="00755A2F">
        <w:rPr>
          <w:lang w:val="en-GB"/>
        </w:rPr>
        <w:t xml:space="preserve"> is completed during the next few subframes. </w:t>
      </w:r>
      <w:r w:rsidR="006034B0">
        <w:rPr>
          <w:lang w:val="en-GB"/>
        </w:rPr>
        <w:t>For this reason</w:t>
      </w:r>
      <w:r w:rsidR="00755A2F">
        <w:rPr>
          <w:lang w:val="en-GB"/>
        </w:rPr>
        <w:t xml:space="preserve">, the received subframes should be properly pipelined and processed so that each received PDSCH can meet its HARQ timeline. Further, it is guaranteed that at each given time, the rate of the </w:t>
      </w:r>
      <w:r w:rsidR="00755A2F">
        <w:rPr>
          <w:lang w:val="en-GB"/>
        </w:rPr>
        <w:lastRenderedPageBreak/>
        <w:t>data being processed at the UE is within its defined limits. Hence, each PDSCH can be sent with the maximum allowable MCS and RB allocation for a given user.</w:t>
      </w:r>
    </w:p>
    <w:p w14:paraId="43EDA8D1" w14:textId="266905A5" w:rsidR="00932C4B" w:rsidRDefault="00C468D9" w:rsidP="00755A2F">
      <w:pPr>
        <w:jc w:val="both"/>
        <w:rPr>
          <w:lang w:val="en-GB"/>
        </w:rPr>
      </w:pPr>
      <w:r>
        <w:rPr>
          <w:lang w:val="en-GB"/>
        </w:rPr>
        <w:t>When the sTTI operation is allowed, handling the processing of two unicast PDSCHs with different TTI lengths becomes a challen</w:t>
      </w:r>
      <w:r w:rsidR="00B22C6C">
        <w:rPr>
          <w:lang w:val="en-GB"/>
        </w:rPr>
        <w:t xml:space="preserve">ging task. In particular, the sTTI operation has a tight turnaround time; the sPDSCH processing should be started as soon as possible, and cannot be delayed. Now, considering the case when the sPDSCH has to be processed, while </w:t>
      </w:r>
      <w:r w:rsidR="006034B0">
        <w:rPr>
          <w:lang w:val="en-GB"/>
        </w:rPr>
        <w:t>a PDSCH sent in a previous subframe</w:t>
      </w:r>
      <w:r w:rsidR="00B22C6C">
        <w:rPr>
          <w:lang w:val="en-GB"/>
        </w:rPr>
        <w:t xml:space="preserve">, possibly with the maximum allowable MCS and RB allocation, </w:t>
      </w:r>
      <w:r w:rsidR="006034B0">
        <w:rPr>
          <w:lang w:val="en-GB"/>
        </w:rPr>
        <w:t>is</w:t>
      </w:r>
      <w:r w:rsidR="00B22C6C">
        <w:rPr>
          <w:lang w:val="en-GB"/>
        </w:rPr>
        <w:t xml:space="preserve"> still being processed, the UE cannot perform both tasks concurrently. </w:t>
      </w:r>
      <w:r w:rsidR="00483FB8">
        <w:rPr>
          <w:lang w:val="en-GB"/>
        </w:rPr>
        <w:t xml:space="preserve">Hence, in such scenarios, some limitations should be defined. </w:t>
      </w:r>
    </w:p>
    <w:p w14:paraId="6B50B862" w14:textId="30D01968" w:rsidR="00483FB8" w:rsidRDefault="00483FB8" w:rsidP="00755A2F">
      <w:pPr>
        <w:jc w:val="both"/>
        <w:rPr>
          <w:lang w:val="en-GB"/>
        </w:rPr>
      </w:pPr>
      <w:r>
        <w:rPr>
          <w:lang w:val="en-GB"/>
        </w:rPr>
        <w:t>As explained, this issue may arise regardless of whether a UE is capable or not when the capability is defined based on the previous agreement.</w:t>
      </w:r>
      <w:r w:rsidR="00147FFC">
        <w:rPr>
          <w:lang w:val="en-GB"/>
        </w:rPr>
        <w:t xml:space="preserve"> In fact, </w:t>
      </w:r>
      <w:r w:rsidR="006034B0">
        <w:rPr>
          <w:lang w:val="en-GB"/>
        </w:rPr>
        <w:t>when</w:t>
      </w:r>
      <w:r w:rsidR="00147FFC">
        <w:rPr>
          <w:lang w:val="en-GB"/>
        </w:rPr>
        <w:t xml:space="preserve"> the dynamic switching between the 1ms TTI and sTTI is allowed, whether in one subframe or different consecutive subframes, this issue should be addressed. To do this, we propose to revise the previous agreement, and further study the ways that may tackle this issue.</w:t>
      </w:r>
    </w:p>
    <w:p w14:paraId="4294FF11" w14:textId="550B88B7" w:rsidR="00EA7ADD" w:rsidRPr="00EA7ADD" w:rsidRDefault="00EA7ADD" w:rsidP="00EA7ADD">
      <w:pPr>
        <w:jc w:val="both"/>
        <w:rPr>
          <w:b/>
          <w:lang w:val="en-GB"/>
        </w:rPr>
      </w:pPr>
      <w:r w:rsidRPr="00EA7ADD">
        <w:rPr>
          <w:b/>
          <w:lang w:val="en-GB"/>
        </w:rPr>
        <w:t xml:space="preserve">Proposal 1: The agreement made in RAN1 #87 regarding the handling of unicast PDSCH and sPDSCH should </w:t>
      </w:r>
      <w:r>
        <w:rPr>
          <w:b/>
          <w:lang w:val="en-GB"/>
        </w:rPr>
        <w:t>be revised</w:t>
      </w:r>
      <w:r w:rsidRPr="00EA7ADD">
        <w:rPr>
          <w:b/>
          <w:lang w:val="en-GB"/>
        </w:rPr>
        <w:t xml:space="preserve"> by introducing some limitations to enable an efficient processing/decoding of different services with different TTI lengths. </w:t>
      </w:r>
    </w:p>
    <w:p w14:paraId="07F50599" w14:textId="340C7120" w:rsidR="006034B0" w:rsidRDefault="006034B0" w:rsidP="006034B0">
      <w:pPr>
        <w:pStyle w:val="Heading3"/>
        <w:keepNext/>
        <w:keepLines/>
        <w:numPr>
          <w:ilvl w:val="1"/>
          <w:numId w:val="44"/>
        </w:numPr>
        <w:jc w:val="both"/>
      </w:pPr>
      <w:r>
        <w:t xml:space="preserve">   Shortened PDSCH Resource Allocation </w:t>
      </w:r>
    </w:p>
    <w:p w14:paraId="3A5D44A6" w14:textId="08E55310" w:rsidR="006034B0" w:rsidRPr="006034B0" w:rsidRDefault="006034B0" w:rsidP="006034B0">
      <w:pPr>
        <w:jc w:val="both"/>
        <w:rPr>
          <w:lang w:val="en-GB"/>
        </w:rPr>
      </w:pPr>
      <w:r w:rsidRPr="006034B0">
        <w:rPr>
          <w:lang w:val="en-GB"/>
        </w:rPr>
        <w:t>As the TTI length reduces, there are specific challenges with the data channel design. The design should efficiently support multiple sTTI users accessing the sPDSCH simultaneously. Additionally specification of sPDSCH resources must be minimized to prevent large sPDCCH payload resulting in unacceptab</w:t>
      </w:r>
      <w:r w:rsidR="00FD3D6F">
        <w:rPr>
          <w:lang w:val="en-GB"/>
        </w:rPr>
        <w:t xml:space="preserve">le control overhead. Allocation </w:t>
      </w:r>
      <w:r w:rsidRPr="006034B0">
        <w:rPr>
          <w:lang w:val="en-GB"/>
        </w:rPr>
        <w:t>of sPDSCH resources into defined blocks of separate data regions wherein 1 or more users can access either 1, multiple, or all of the defined sTTI data blocks</w:t>
      </w:r>
      <w:r w:rsidR="00DC4A38">
        <w:rPr>
          <w:lang w:val="en-GB"/>
        </w:rPr>
        <w:t xml:space="preserve"> should therefore be considered</w:t>
      </w:r>
      <w:r w:rsidRPr="006034B0">
        <w:rPr>
          <w:lang w:val="en-GB"/>
        </w:rPr>
        <w:t xml:space="preserve">. Additionally, the sPDCCH control channel should be embedded within the block and positioned in the first symbol to allow for early decode. A high level diagram of this structure is shown in </w:t>
      </w:r>
      <w:r w:rsidRPr="006034B0">
        <w:rPr>
          <w:lang w:val="en-GB"/>
        </w:rPr>
        <w:fldChar w:fldCharType="begin"/>
      </w:r>
      <w:r w:rsidRPr="006034B0">
        <w:rPr>
          <w:lang w:val="en-GB"/>
        </w:rPr>
        <w:instrText xml:space="preserve"> REF _Ref456945734 \h  \* MERGEFORMAT </w:instrText>
      </w:r>
      <w:r w:rsidRPr="006034B0">
        <w:rPr>
          <w:lang w:val="en-GB"/>
        </w:rPr>
      </w:r>
      <w:r w:rsidRPr="006034B0">
        <w:rPr>
          <w:lang w:val="en-GB"/>
        </w:rPr>
        <w:fldChar w:fldCharType="separate"/>
      </w:r>
      <w:r w:rsidRPr="006034B0">
        <w:t xml:space="preserve">Figure </w:t>
      </w:r>
      <w:r w:rsidRPr="006034B0">
        <w:rPr>
          <w:noProof/>
        </w:rPr>
        <w:t>1</w:t>
      </w:r>
      <w:r w:rsidRPr="006034B0">
        <w:rPr>
          <w:lang w:val="en-GB"/>
        </w:rPr>
        <w:fldChar w:fldCharType="end"/>
      </w:r>
      <w:r w:rsidRPr="006034B0">
        <w:rPr>
          <w:lang w:val="en-GB"/>
        </w:rPr>
        <w:t>.</w:t>
      </w:r>
    </w:p>
    <w:p w14:paraId="271F7770" w14:textId="60B04126" w:rsidR="006034B0" w:rsidRDefault="006034B0" w:rsidP="006034B0">
      <w:pPr>
        <w:jc w:val="both"/>
        <w:rPr>
          <w:lang w:val="en-GB"/>
        </w:rPr>
      </w:pPr>
      <w:r w:rsidRPr="006034B0">
        <w:rPr>
          <w:lang w:val="en-GB"/>
        </w:rPr>
        <w:t>There can be multiple blocks defined with varying size in frequency, and the blocks can be defined to span the whole system bandwidth or a portion of the bandwidth as shown</w:t>
      </w:r>
      <w:r w:rsidR="00FD3D6F">
        <w:rPr>
          <w:lang w:val="en-GB"/>
        </w:rPr>
        <w:t xml:space="preserve"> in the figure</w:t>
      </w:r>
      <w:r w:rsidRPr="006034B0">
        <w:rPr>
          <w:lang w:val="en-GB"/>
        </w:rPr>
        <w:t>. The block structure can be semi-statically defined via higher layer signalling. This allows for a baseline resource structure that (1) does not consume legacy PDCCH or sPDCCH resource overhead to define, (2) can allow for multiple UEs to access an sTTI resource at the same time, (3) can allow for a UE to be flexibly allocated a variable allocation of sPDSCH resources within the same TTI, and (4) can be modified and changed as needed by the eNB via higher layer signalling.</w:t>
      </w:r>
    </w:p>
    <w:p w14:paraId="5D283680" w14:textId="77777777" w:rsidR="006034B0" w:rsidRDefault="006034B0" w:rsidP="006034B0">
      <w:pPr>
        <w:jc w:val="center"/>
        <w:rPr>
          <w:lang w:val="en-GB"/>
        </w:rPr>
      </w:pPr>
      <w:r>
        <w:object w:dxaOrig="6606" w:dyaOrig="4404" w14:anchorId="0E54B0C6">
          <v:shape id="_x0000_i1025" type="#_x0000_t75" style="width:330pt;height:220.5pt" o:ole="">
            <v:imagedata r:id="rId13" o:title=""/>
          </v:shape>
          <o:OLEObject Type="Embed" ProgID="Visio.Drawing.11" ShapeID="_x0000_i1025" DrawAspect="Content" ObjectID="_1547905610" r:id="rId14"/>
        </w:object>
      </w:r>
    </w:p>
    <w:p w14:paraId="6ABFAB22" w14:textId="77777777" w:rsidR="006034B0" w:rsidRDefault="006034B0" w:rsidP="006034B0">
      <w:pPr>
        <w:pStyle w:val="Caption"/>
        <w:jc w:val="center"/>
        <w:rPr>
          <w:b w:val="0"/>
        </w:rPr>
      </w:pPr>
      <w:bookmarkStart w:id="2" w:name="_Ref456945734"/>
      <w:r w:rsidRPr="00893BEA">
        <w:rPr>
          <w:b w:val="0"/>
        </w:rPr>
        <w:t xml:space="preserve">Figure </w:t>
      </w:r>
      <w:r w:rsidRPr="00893BEA">
        <w:rPr>
          <w:b w:val="0"/>
        </w:rPr>
        <w:fldChar w:fldCharType="begin"/>
      </w:r>
      <w:r w:rsidRPr="00893BEA">
        <w:rPr>
          <w:b w:val="0"/>
        </w:rPr>
        <w:instrText xml:space="preserve"> SEQ Figure \* ARABIC </w:instrText>
      </w:r>
      <w:r w:rsidRPr="00893BEA">
        <w:rPr>
          <w:b w:val="0"/>
        </w:rPr>
        <w:fldChar w:fldCharType="separate"/>
      </w:r>
      <w:r>
        <w:rPr>
          <w:b w:val="0"/>
          <w:noProof/>
        </w:rPr>
        <w:t>1</w:t>
      </w:r>
      <w:r w:rsidRPr="00893BEA">
        <w:rPr>
          <w:b w:val="0"/>
        </w:rPr>
        <w:fldChar w:fldCharType="end"/>
      </w:r>
      <w:bookmarkEnd w:id="2"/>
      <w:r w:rsidRPr="00893BEA">
        <w:rPr>
          <w:b w:val="0"/>
        </w:rPr>
        <w:t>: Diagram of downlink sTTI Resource Allocation</w:t>
      </w:r>
    </w:p>
    <w:p w14:paraId="56152100" w14:textId="77777777" w:rsidR="006034B0" w:rsidRDefault="006034B0" w:rsidP="006034B0">
      <w:pPr>
        <w:jc w:val="both"/>
      </w:pPr>
    </w:p>
    <w:p w14:paraId="039FDB30" w14:textId="0AA639F9" w:rsidR="006034B0" w:rsidRDefault="006034B0" w:rsidP="006034B0">
      <w:pPr>
        <w:jc w:val="both"/>
      </w:pPr>
      <w:r>
        <w:t>The sTTI duration is fixed within a block. However, multiple blocks that are configured with the same sTTI length can be jointly scheduled to a particular user in a given sTTI period, and this information is conveyed in the sPDCCH channel. Note that for slot sTTI, block based resource allocation may also be adopted, although the block size for slot sTTI and 2-</w:t>
      </w:r>
      <w:r>
        <w:lastRenderedPageBreak/>
        <w:t>symbol sTTI should generally be different. As an example, the resource allocation granularity for slot sTTI can be double that of legacy 1-ms TTI based scheduling (e.g., 2-RB based block scheduling).</w:t>
      </w:r>
    </w:p>
    <w:p w14:paraId="26A88047" w14:textId="3B682F3D" w:rsidR="006034B0" w:rsidRDefault="00DC4A38" w:rsidP="006034B0">
      <w:pPr>
        <w:jc w:val="both"/>
        <w:rPr>
          <w:b/>
        </w:rPr>
      </w:pPr>
      <w:r>
        <w:rPr>
          <w:b/>
        </w:rPr>
        <w:t>Proposal 2</w:t>
      </w:r>
      <w:r w:rsidR="006034B0" w:rsidRPr="006034B0">
        <w:rPr>
          <w:b/>
        </w:rPr>
        <w:t>: A block based sTTI design should be considered at least for the 2-symbol sTTI, allowing eNB to flexibly assign one or more UEs to one or more sTTI blocks.</w:t>
      </w:r>
    </w:p>
    <w:p w14:paraId="00D2D237" w14:textId="26E8FC0F" w:rsidR="00DC4A38" w:rsidRPr="00775094" w:rsidRDefault="00DC4A38" w:rsidP="006034B0">
      <w:pPr>
        <w:jc w:val="both"/>
        <w:rPr>
          <w:b/>
        </w:rPr>
      </w:pPr>
      <w:r>
        <w:rPr>
          <w:b/>
        </w:rPr>
        <w:t>Proposal 3: The block structure can be configured via a higher layer signaling.</w:t>
      </w:r>
    </w:p>
    <w:p w14:paraId="294DF458" w14:textId="7701BA77" w:rsidR="006034B0" w:rsidRPr="007D58FC" w:rsidRDefault="006034B0" w:rsidP="006034B0">
      <w:pPr>
        <w:jc w:val="both"/>
        <w:rPr>
          <w:lang w:val="en-GB"/>
        </w:rPr>
      </w:pPr>
      <w:r w:rsidRPr="006034B0">
        <w:rPr>
          <w:lang w:val="en-GB"/>
        </w:rPr>
        <w:t xml:space="preserve">The blocks comprises a set of RBs and can be defined using the existing downlink resource allocation schemes, particularly, the RBG based approaches which can allow for </w:t>
      </w:r>
      <w:r w:rsidR="00DC4A38">
        <w:rPr>
          <w:lang w:val="en-GB"/>
        </w:rPr>
        <w:t>proper</w:t>
      </w:r>
      <w:r w:rsidRPr="006034B0">
        <w:rPr>
          <w:lang w:val="en-GB"/>
        </w:rPr>
        <w:t xml:space="preserve"> coexistence with legacy 1ms PDSCH allocations. In</w:t>
      </w:r>
      <w:r>
        <w:rPr>
          <w:lang w:val="en-GB"/>
        </w:rPr>
        <w:t xml:space="preserve"> many operational scenarios, sTTI users and legacy 1ms users can be FDM’ed efficiently without overlap. However, note that this block-based design does not preclude support of dynamic 1ms PDSCH allocations that can overlap with the sTTI block structure. In a given sTTI, a low latency user may be assigned sTTI blocks that may have been already assigned to a 1ms legacy PDSCH user. This operational scenario is shown in </w:t>
      </w:r>
      <w:r w:rsidRPr="00F42969">
        <w:rPr>
          <w:lang w:val="en-GB"/>
        </w:rPr>
        <w:fldChar w:fldCharType="begin"/>
      </w:r>
      <w:r w:rsidRPr="00F42969">
        <w:rPr>
          <w:lang w:val="en-GB"/>
        </w:rPr>
        <w:instrText xml:space="preserve"> REF _Ref457291964 \h  \* MERGEFORMAT </w:instrText>
      </w:r>
      <w:r w:rsidRPr="00F42969">
        <w:rPr>
          <w:lang w:val="en-GB"/>
        </w:rPr>
      </w:r>
      <w:r w:rsidRPr="00F42969">
        <w:rPr>
          <w:lang w:val="en-GB"/>
        </w:rPr>
        <w:fldChar w:fldCharType="separate"/>
      </w:r>
      <w:r w:rsidRPr="0096562F">
        <w:t xml:space="preserve">Figure </w:t>
      </w:r>
      <w:r w:rsidRPr="0096562F">
        <w:rPr>
          <w:noProof/>
        </w:rPr>
        <w:t>2</w:t>
      </w:r>
      <w:r w:rsidRPr="00F42969">
        <w:rPr>
          <w:lang w:val="en-GB"/>
        </w:rPr>
        <w:fldChar w:fldCharType="end"/>
      </w:r>
      <w:r w:rsidRPr="00F42969">
        <w:rPr>
          <w:lang w:val="en-GB"/>
        </w:rPr>
        <w:t>.</w:t>
      </w:r>
      <w:r>
        <w:rPr>
          <w:lang w:val="en-GB"/>
        </w:rPr>
        <w:t xml:space="preserve">  </w:t>
      </w:r>
    </w:p>
    <w:p w14:paraId="2EA39190" w14:textId="77777777" w:rsidR="006034B0" w:rsidRDefault="006034B0" w:rsidP="006034B0">
      <w:pPr>
        <w:jc w:val="center"/>
      </w:pPr>
      <w:r>
        <w:object w:dxaOrig="6946" w:dyaOrig="4404" w14:anchorId="620E643C">
          <v:shape id="_x0000_i1026" type="#_x0000_t75" style="width:347.25pt;height:220.5pt" o:ole="">
            <v:imagedata r:id="rId15" o:title=""/>
          </v:shape>
          <o:OLEObject Type="Embed" ProgID="Visio.Drawing.11" ShapeID="_x0000_i1026" DrawAspect="Content" ObjectID="_1547905611" r:id="rId16"/>
        </w:object>
      </w:r>
    </w:p>
    <w:p w14:paraId="541400A0" w14:textId="77777777" w:rsidR="006034B0" w:rsidRDefault="006034B0" w:rsidP="006034B0">
      <w:pPr>
        <w:pStyle w:val="Caption"/>
        <w:jc w:val="center"/>
        <w:rPr>
          <w:b w:val="0"/>
        </w:rPr>
      </w:pPr>
      <w:bookmarkStart w:id="3" w:name="_Ref457291964"/>
      <w:bookmarkStart w:id="4" w:name="_Ref457291957"/>
      <w:r w:rsidRPr="00F42969">
        <w:rPr>
          <w:b w:val="0"/>
        </w:rPr>
        <w:t xml:space="preserve">Figure </w:t>
      </w:r>
      <w:r w:rsidRPr="00F42969">
        <w:rPr>
          <w:b w:val="0"/>
        </w:rPr>
        <w:fldChar w:fldCharType="begin"/>
      </w:r>
      <w:r w:rsidRPr="00F42969">
        <w:rPr>
          <w:b w:val="0"/>
        </w:rPr>
        <w:instrText xml:space="preserve"> SEQ Figure \* ARABIC </w:instrText>
      </w:r>
      <w:r w:rsidRPr="00F42969">
        <w:rPr>
          <w:b w:val="0"/>
        </w:rPr>
        <w:fldChar w:fldCharType="separate"/>
      </w:r>
      <w:r>
        <w:rPr>
          <w:b w:val="0"/>
          <w:noProof/>
        </w:rPr>
        <w:t>2</w:t>
      </w:r>
      <w:r w:rsidRPr="00F42969">
        <w:rPr>
          <w:b w:val="0"/>
        </w:rPr>
        <w:fldChar w:fldCharType="end"/>
      </w:r>
      <w:bookmarkEnd w:id="3"/>
      <w:r w:rsidRPr="00F42969">
        <w:rPr>
          <w:b w:val="0"/>
        </w:rPr>
        <w:t>: Coexistence of shortened TTI and Legacy 1ms users</w:t>
      </w:r>
      <w:bookmarkEnd w:id="4"/>
    </w:p>
    <w:p w14:paraId="1E68E6A0" w14:textId="77777777" w:rsidR="006034B0" w:rsidRPr="00D036BD" w:rsidRDefault="006034B0" w:rsidP="006034B0">
      <w:pPr>
        <w:jc w:val="both"/>
      </w:pPr>
    </w:p>
    <w:p w14:paraId="51A159EA" w14:textId="77777777" w:rsidR="006034B0" w:rsidRPr="006034B0" w:rsidRDefault="006034B0" w:rsidP="006034B0">
      <w:pPr>
        <w:jc w:val="both"/>
      </w:pPr>
      <w:r w:rsidRPr="006034B0">
        <w:t xml:space="preserve">For this case, a transmission is made in the legacy PDCCH region that can indicate legacy 1ms PDSCH resources used within the subframe. A low latency user can receive this information at the start of the subframe, and if assigned a sTTI transmission during the subframe comprising a set of sTTI resource blocks, will rate-match around the legacy PDSCH allocation when receiving both the sPDCCH and sPDSCH channels. This methodology effectively handles these collision cases between legacy and low latency users, at the expense of additional PDCCH overhead.  To mitigate the overhead and in light of the fact that the scheduling of legacy 1-ms may be bursty and may persist for a certain duration, the legacy resource information that is sent on the PDCCH can be configured to be sent with a particular periodicity. The magnitude of the periodicity can be correlated to how dynamic the DL legacy PDSCH resource allocation is at the eNB. In addition, the sPDCCH and sPDSCH will also rate match around the common signals, CRS/PSS/SSS/PBCH, as well as other RBs that are reserved via RRC signaling, such as NB-IOT resource allocations. </w:t>
      </w:r>
    </w:p>
    <w:p w14:paraId="3E8F63A4" w14:textId="32128F1A" w:rsidR="006034B0" w:rsidRDefault="00DC4A38" w:rsidP="00FB578A">
      <w:pPr>
        <w:jc w:val="both"/>
        <w:rPr>
          <w:b/>
          <w:lang w:val="en-GB"/>
        </w:rPr>
      </w:pPr>
      <w:r>
        <w:rPr>
          <w:b/>
          <w:lang w:val="en-GB"/>
        </w:rPr>
        <w:t>Proposal 4</w:t>
      </w:r>
      <w:r w:rsidR="006034B0" w:rsidRPr="006034B0">
        <w:rPr>
          <w:b/>
          <w:lang w:val="en-GB"/>
        </w:rPr>
        <w:t>: To efficiently support simultaneous legacy and low latency transmissions, information indicating the legacy resource usage within the subframe can be a combination of a dynamic PDCCH transmission with a preconfigured periodicity and a semi-static configuration. The low latency users can use this to rate match around these used legacy resources.</w:t>
      </w:r>
    </w:p>
    <w:p w14:paraId="4E86A4F9" w14:textId="77777777" w:rsidR="006034B0" w:rsidRDefault="006034B0" w:rsidP="006034B0">
      <w:pPr>
        <w:pStyle w:val="Heading3"/>
        <w:keepNext/>
        <w:keepLines/>
        <w:numPr>
          <w:ilvl w:val="1"/>
          <w:numId w:val="44"/>
        </w:numPr>
        <w:jc w:val="both"/>
      </w:pPr>
      <w:r>
        <w:t xml:space="preserve">   TBS Scaling for sTTI Operation</w:t>
      </w:r>
    </w:p>
    <w:p w14:paraId="27491B7E" w14:textId="77777777" w:rsidR="00171FD2" w:rsidRDefault="00093618" w:rsidP="00093618">
      <w:pPr>
        <w:jc w:val="both"/>
        <w:rPr>
          <w:lang w:val="en-GB"/>
        </w:rPr>
      </w:pPr>
      <w:r w:rsidRPr="00093618">
        <w:rPr>
          <w:lang w:val="en-GB"/>
        </w:rPr>
        <w:t>For the case of 2-symbol sTTI, the allocation duration is now 7 time shorter on average relative to the 1 ms legacy transmission. Therefore using the legacy TBS block sizing as is would incorrectly assume that there are more RE’s that are available than there actually would be. Clearly, one alternative is to create a new transport block size table specifically for 2-symbol sTTI allocations which maps MCS and PRB size to a revised transport block size. A simpler alternative is to scale the PRB size such that one may access the existing transport block sizing table</w:t>
      </w:r>
      <w:r w:rsidR="00171FD2">
        <w:rPr>
          <w:lang w:val="en-GB"/>
        </w:rPr>
        <w:t>.</w:t>
      </w:r>
    </w:p>
    <w:p w14:paraId="6638CE9B" w14:textId="62512357" w:rsidR="00093618" w:rsidRPr="00093618" w:rsidRDefault="00171FD2" w:rsidP="00093618">
      <w:pPr>
        <w:jc w:val="both"/>
        <w:rPr>
          <w:lang w:val="en-GB"/>
        </w:rPr>
      </w:pPr>
      <w:r>
        <w:rPr>
          <w:lang w:val="en-GB"/>
        </w:rPr>
        <w:lastRenderedPageBreak/>
        <w:t xml:space="preserve">To do this, it should be noted that </w:t>
      </w:r>
      <w:r w:rsidR="00093618" w:rsidRPr="00093618">
        <w:rPr>
          <w:lang w:val="en-GB"/>
        </w:rPr>
        <w:t>there are approximately 6 times more REs within one 1RB of 1ms TTI as compared to 1RB of a 2-symbol sTTI. Therefore, in order to use the transport block sizing table, we should divide the number of PRBs used for the 2 symbol sTTI by 6 to formulate the NPRB value to be used in the transport block size table. Given that the 2 symbol sTTI PRB sizing is not always a multiple of 6, a floor function should be placed on the division to ensure that a sufficient code rate is achieved with the selected transport block size. Also, the minimum NPRB sizing should be no smaller than 1 PRB. So given NPRB_2sym_sTTI, the NPRB value that should be used to index into the transport block size table is given as:</w:t>
      </w:r>
    </w:p>
    <w:p w14:paraId="2C5AEBF3" w14:textId="2643A93F" w:rsidR="00093618" w:rsidRPr="00093618" w:rsidRDefault="00093618" w:rsidP="00093618">
      <w:pPr>
        <w:jc w:val="center"/>
        <w:rPr>
          <w:lang w:val="en-GB"/>
        </w:rPr>
      </w:pPr>
      <w:r w:rsidRPr="00093618">
        <w:rPr>
          <w:lang w:val="en-GB"/>
        </w:rPr>
        <w:t xml:space="preserve">NPRB  = max( </w:t>
      </w:r>
      <w:r w:rsidRPr="00093618">
        <w:rPr>
          <w:lang w:val="en-GB"/>
        </w:rPr>
        <w:sym w:font="Symbol" w:char="F0EB"/>
      </w:r>
      <w:r w:rsidRPr="00093618">
        <w:rPr>
          <w:lang w:val="en-GB"/>
        </w:rPr>
        <w:t>NPRB_2sym_sTTI / 6</w:t>
      </w:r>
      <w:r w:rsidRPr="00093618">
        <w:rPr>
          <w:lang w:val="en-GB"/>
        </w:rPr>
        <w:sym w:font="Symbol" w:char="F0FB"/>
      </w:r>
      <w:r w:rsidRPr="00093618">
        <w:rPr>
          <w:lang w:val="en-GB"/>
        </w:rPr>
        <w:t>, 1)</w:t>
      </w:r>
      <w:r>
        <w:rPr>
          <w:lang w:val="en-GB"/>
        </w:rPr>
        <w:t>.</w:t>
      </w:r>
    </w:p>
    <w:p w14:paraId="371A8260" w14:textId="77777777" w:rsidR="00093618" w:rsidRPr="00093618" w:rsidRDefault="00093618" w:rsidP="00093618">
      <w:pPr>
        <w:jc w:val="both"/>
        <w:rPr>
          <w:lang w:val="en-GB"/>
        </w:rPr>
      </w:pPr>
      <w:r w:rsidRPr="00093618">
        <w:rPr>
          <w:lang w:val="en-GB"/>
        </w:rPr>
        <w:t>Note that for a 2-symbol sTTI, there are different data and reference signal configurations. For the case of 3 data symbols, it is proposed to maintain the equation above, so that the soft buffer sizing and/or HARQ timing does not require an increase. For the case of an sTTI with one data symbols and one DMRS symbol, an additional scale factor of ½ should be included so that the effective code rate is normalized between the 1 and 2 data symbol cases. This scaling is given by:</w:t>
      </w:r>
    </w:p>
    <w:p w14:paraId="0F086017" w14:textId="4A4DD07A" w:rsidR="00093618" w:rsidRPr="00093618" w:rsidRDefault="00093618" w:rsidP="00093618">
      <w:pPr>
        <w:jc w:val="center"/>
        <w:rPr>
          <w:lang w:val="en-GB"/>
        </w:rPr>
      </w:pPr>
      <w:r w:rsidRPr="00093618">
        <w:rPr>
          <w:lang w:val="en-GB"/>
        </w:rPr>
        <w:t xml:space="preserve">NPRB  = max( </w:t>
      </w:r>
      <w:r w:rsidRPr="00093618">
        <w:rPr>
          <w:lang w:val="en-GB"/>
        </w:rPr>
        <w:sym w:font="Symbol" w:char="F0EB"/>
      </w:r>
      <w:r w:rsidRPr="00093618">
        <w:rPr>
          <w:lang w:val="en-GB"/>
        </w:rPr>
        <w:t>NPRB_2sym_sTTI / 12</w:t>
      </w:r>
      <w:r w:rsidRPr="00093618">
        <w:rPr>
          <w:lang w:val="en-GB"/>
        </w:rPr>
        <w:sym w:font="Symbol" w:char="F0FB"/>
      </w:r>
      <w:r w:rsidRPr="00093618">
        <w:rPr>
          <w:lang w:val="en-GB"/>
        </w:rPr>
        <w:t>, 1)</w:t>
      </w:r>
      <w:r>
        <w:rPr>
          <w:lang w:val="en-GB"/>
        </w:rPr>
        <w:t>.</w:t>
      </w:r>
    </w:p>
    <w:p w14:paraId="4F5B0335" w14:textId="77777777" w:rsidR="00093618" w:rsidRPr="00093618" w:rsidRDefault="00093618" w:rsidP="00093618">
      <w:pPr>
        <w:jc w:val="both"/>
        <w:rPr>
          <w:lang w:val="en-GB"/>
        </w:rPr>
      </w:pPr>
      <w:r w:rsidRPr="00093618">
        <w:rPr>
          <w:lang w:val="en-GB"/>
        </w:rPr>
        <w:t>Similarly for a slot based sTTI, the scaling will use a factor of 1/2:</w:t>
      </w:r>
    </w:p>
    <w:p w14:paraId="46E4E7F0" w14:textId="0CC08FF6" w:rsidR="00093618" w:rsidRPr="00093618" w:rsidRDefault="00093618" w:rsidP="00093618">
      <w:pPr>
        <w:jc w:val="center"/>
        <w:rPr>
          <w:lang w:val="en-GB"/>
        </w:rPr>
      </w:pPr>
      <w:r w:rsidRPr="00093618">
        <w:rPr>
          <w:lang w:val="en-GB"/>
        </w:rPr>
        <w:t>NPRB  = max(</w:t>
      </w:r>
      <w:r w:rsidRPr="00093618">
        <w:rPr>
          <w:lang w:val="en-GB"/>
        </w:rPr>
        <w:sym w:font="Symbol" w:char="F0EB"/>
      </w:r>
      <w:r w:rsidRPr="00093618">
        <w:rPr>
          <w:lang w:val="en-GB"/>
        </w:rPr>
        <w:t>NPRB_slot_sTTI / 2</w:t>
      </w:r>
      <w:r w:rsidRPr="00093618">
        <w:rPr>
          <w:lang w:val="en-GB"/>
        </w:rPr>
        <w:sym w:font="Symbol" w:char="F0FB"/>
      </w:r>
      <w:r w:rsidRPr="00093618">
        <w:rPr>
          <w:lang w:val="en-GB"/>
        </w:rPr>
        <w:t>, 1)</w:t>
      </w:r>
      <w:r>
        <w:rPr>
          <w:lang w:val="en-GB"/>
        </w:rPr>
        <w:t>.</w:t>
      </w:r>
    </w:p>
    <w:p w14:paraId="0D089FA1" w14:textId="4F420AB8" w:rsidR="00DC4A38" w:rsidRPr="00171FD2" w:rsidRDefault="00093618" w:rsidP="00171FD2">
      <w:pPr>
        <w:jc w:val="both"/>
        <w:rPr>
          <w:b/>
          <w:lang w:val="en-GB"/>
        </w:rPr>
      </w:pPr>
      <w:r>
        <w:rPr>
          <w:b/>
          <w:lang w:val="en-GB"/>
        </w:rPr>
        <w:t>Proposal 5</w:t>
      </w:r>
      <w:r w:rsidRPr="00093618">
        <w:rPr>
          <w:b/>
          <w:lang w:val="en-GB"/>
        </w:rPr>
        <w:t>: For TBS sizing of the 2 symbol and 1 slot sTTIs</w:t>
      </w:r>
      <w:r w:rsidR="00171FD2">
        <w:rPr>
          <w:b/>
          <w:lang w:val="en-GB"/>
        </w:rPr>
        <w:t>,</w:t>
      </w:r>
      <w:r w:rsidRPr="00093618">
        <w:rPr>
          <w:b/>
          <w:lang w:val="en-GB"/>
        </w:rPr>
        <w:t xml:space="preserve"> the number of PRBs used to index the TBS block size table is determined by a floored scaling operation by a factor of 1/6 or 1/12 for the 2-symbol sTTI and a factor of ½ for the 1 slot sTTI case, on the allocation PRB size of the sTTI.</w:t>
      </w:r>
    </w:p>
    <w:p w14:paraId="681B14B9" w14:textId="50472400" w:rsidR="006034B0" w:rsidRDefault="006034B0" w:rsidP="006034B0">
      <w:pPr>
        <w:pStyle w:val="Heading3"/>
        <w:keepNext/>
        <w:keepLines/>
        <w:numPr>
          <w:ilvl w:val="1"/>
          <w:numId w:val="44"/>
        </w:numPr>
        <w:jc w:val="both"/>
      </w:pPr>
      <w:r>
        <w:t xml:space="preserve">   Number of Supportable CWs and Layers </w:t>
      </w:r>
    </w:p>
    <w:p w14:paraId="6259DB7B" w14:textId="78E0A4F9" w:rsidR="00A637AF" w:rsidRDefault="008F3A8D" w:rsidP="00FB578A">
      <w:pPr>
        <w:jc w:val="both"/>
        <w:rPr>
          <w:lang w:val="en-GB"/>
        </w:rPr>
      </w:pPr>
      <w:r w:rsidRPr="008F3A8D">
        <w:rPr>
          <w:lang w:val="en-GB"/>
        </w:rPr>
        <w:t xml:space="preserve">In legacy LTE, depending on the configured transmission mode, up to 2 CWs and 8 layers can be supported. For each CW, MCS, NDI, and RV bit fields are considered in the DCI. </w:t>
      </w:r>
    </w:p>
    <w:p w14:paraId="58627DFA" w14:textId="77777777" w:rsidR="00EA7ADD" w:rsidRDefault="00EA7ADD" w:rsidP="00EA7ADD">
      <w:pPr>
        <w:jc w:val="both"/>
        <w:rPr>
          <w:lang w:val="en-GB"/>
        </w:rPr>
      </w:pPr>
      <w:r>
        <w:rPr>
          <w:lang w:val="en-GB"/>
        </w:rPr>
        <w:t>In a low latency operation, due to the fact that resources are limited, it is essential to reduce the control signalling overhead in both DL and UL. One straightforward way to do this is to limit the number of supportable CWs to only 1. With only 1 CW supported, only a 1-bit HARQ ACK/NAK per CC needs to be fed back. Hence, the added benefit of reducing the number of CWs is that the UL control overhead also reduces. Note that under this proposal, there is minimal impact on existing specifications since it is already supported to have a single CW mapped to 4-layer transmissions (although only for re-transmissiosn). Due to these reasons, we have:</w:t>
      </w:r>
    </w:p>
    <w:p w14:paraId="2ACC8F9E" w14:textId="7B23B806" w:rsidR="008F3A8D" w:rsidRPr="008F3A8D" w:rsidRDefault="008F3A8D" w:rsidP="00FB578A">
      <w:pPr>
        <w:jc w:val="both"/>
        <w:rPr>
          <w:b/>
          <w:lang w:val="en-GB"/>
        </w:rPr>
      </w:pPr>
      <w:r w:rsidRPr="008F3A8D">
        <w:rPr>
          <w:b/>
          <w:lang w:val="en-GB"/>
        </w:rPr>
        <w:t xml:space="preserve">Proposal 6: </w:t>
      </w:r>
      <w:r w:rsidR="002F0A26">
        <w:rPr>
          <w:b/>
          <w:lang w:val="en-GB"/>
        </w:rPr>
        <w:t>Support</w:t>
      </w:r>
      <w:r w:rsidRPr="008F3A8D">
        <w:rPr>
          <w:b/>
          <w:lang w:val="en-GB"/>
        </w:rPr>
        <w:t xml:space="preserve"> only 1 CW per CC under the sTTI operation.</w:t>
      </w:r>
      <w:bookmarkStart w:id="5" w:name="_GoBack"/>
      <w:bookmarkEnd w:id="5"/>
    </w:p>
    <w:p w14:paraId="32A8D662" w14:textId="77777777" w:rsidR="00EA7ADD" w:rsidRPr="008F3A8D" w:rsidRDefault="00EA7ADD" w:rsidP="00EA7ADD">
      <w:pPr>
        <w:jc w:val="both"/>
        <w:rPr>
          <w:lang w:val="en-GB"/>
        </w:rPr>
      </w:pPr>
      <w:r w:rsidRPr="008F3A8D">
        <w:rPr>
          <w:lang w:val="en-GB"/>
        </w:rPr>
        <w:t>Similar to the legacy LTE, under the CRS-based sPDSCH, up to 4 layers can be supported. However, when a DMRS-based sPDSCH is configured, the overhead of enabling 8 layers is significant. Hence, in this case, the number of supportable layers may also be set to 4</w:t>
      </w:r>
      <w:r>
        <w:rPr>
          <w:lang w:val="en-GB"/>
        </w:rPr>
        <w:t>, especially considering only one CW is supported for sTTI.</w:t>
      </w:r>
    </w:p>
    <w:p w14:paraId="0AE3EE92" w14:textId="0711D509" w:rsidR="008F3A8D" w:rsidRPr="00F811B1" w:rsidRDefault="00DE736E" w:rsidP="00FB578A">
      <w:pPr>
        <w:jc w:val="both"/>
        <w:rPr>
          <w:b/>
          <w:lang w:val="en-GB"/>
        </w:rPr>
      </w:pPr>
      <w:r>
        <w:rPr>
          <w:b/>
          <w:lang w:val="en-GB"/>
        </w:rPr>
        <w:t>Proposal 7: The maximum number of layers can be set to 4 under both CRS-based and DMRS-based sPDSCHs.</w:t>
      </w:r>
    </w:p>
    <w:p w14:paraId="2F77E7C7" w14:textId="3605C8B0" w:rsidR="00491EEE" w:rsidRDefault="0029664A" w:rsidP="00843B71">
      <w:pPr>
        <w:pStyle w:val="Heading1"/>
        <w:jc w:val="both"/>
      </w:pPr>
      <w:r>
        <w:t>3</w:t>
      </w:r>
      <w:r w:rsidR="00491EEE" w:rsidRPr="00E05A22">
        <w:tab/>
        <w:t xml:space="preserve">Conclusions </w:t>
      </w:r>
    </w:p>
    <w:p w14:paraId="4F67B46D" w14:textId="31A9AAD5" w:rsidR="00EA7ADD" w:rsidRDefault="00EA7ADD" w:rsidP="00EA7ADD">
      <w:pPr>
        <w:jc w:val="both"/>
        <w:rPr>
          <w:b/>
          <w:lang w:val="en-GB"/>
        </w:rPr>
      </w:pPr>
      <w:r w:rsidRPr="006034B0">
        <w:rPr>
          <w:b/>
          <w:lang w:val="en-GB"/>
        </w:rPr>
        <w:t xml:space="preserve">Proposal 1: The agreement made in RAN1 #87 regarding the handling of unicast PDSCH and sPDSCH </w:t>
      </w:r>
      <w:r>
        <w:rPr>
          <w:b/>
          <w:lang w:val="en-GB"/>
        </w:rPr>
        <w:t>should</w:t>
      </w:r>
      <w:r w:rsidRPr="006034B0">
        <w:rPr>
          <w:b/>
          <w:lang w:val="en-GB"/>
        </w:rPr>
        <w:t xml:space="preserve"> </w:t>
      </w:r>
      <w:r>
        <w:rPr>
          <w:b/>
          <w:lang w:val="en-GB"/>
        </w:rPr>
        <w:t>be revised</w:t>
      </w:r>
      <w:r w:rsidRPr="006034B0">
        <w:rPr>
          <w:b/>
          <w:lang w:val="en-GB"/>
        </w:rPr>
        <w:t xml:space="preserve"> </w:t>
      </w:r>
      <w:r>
        <w:rPr>
          <w:b/>
          <w:lang w:val="en-GB"/>
        </w:rPr>
        <w:t>by introducing</w:t>
      </w:r>
      <w:r w:rsidRPr="006034B0">
        <w:rPr>
          <w:b/>
          <w:lang w:val="en-GB"/>
        </w:rPr>
        <w:t xml:space="preserve"> some limitation</w:t>
      </w:r>
      <w:r>
        <w:rPr>
          <w:b/>
          <w:lang w:val="en-GB"/>
        </w:rPr>
        <w:t>s</w:t>
      </w:r>
      <w:r w:rsidRPr="006034B0">
        <w:rPr>
          <w:b/>
          <w:lang w:val="en-GB"/>
        </w:rPr>
        <w:t xml:space="preserve"> to enable an efficient</w:t>
      </w:r>
      <w:r>
        <w:rPr>
          <w:b/>
          <w:lang w:val="en-GB"/>
        </w:rPr>
        <w:t xml:space="preserve"> processing/decoding of different services with different TTI lengths.</w:t>
      </w:r>
      <w:r w:rsidRPr="006034B0">
        <w:rPr>
          <w:b/>
          <w:lang w:val="en-GB"/>
        </w:rPr>
        <w:t xml:space="preserve"> </w:t>
      </w:r>
    </w:p>
    <w:p w14:paraId="3D7DD980" w14:textId="77777777" w:rsidR="00DC4A38" w:rsidRDefault="00DC4A38" w:rsidP="00DC4A38">
      <w:pPr>
        <w:jc w:val="both"/>
        <w:rPr>
          <w:b/>
        </w:rPr>
      </w:pPr>
      <w:r>
        <w:rPr>
          <w:b/>
        </w:rPr>
        <w:t>Proposal 2</w:t>
      </w:r>
      <w:r w:rsidRPr="006034B0">
        <w:rPr>
          <w:b/>
        </w:rPr>
        <w:t>: A block based sTTI design should be considered at least for the 2-symbol sTTI, allowing eNB to flexibly assign one or more UEs to one or more sTTI blocks.</w:t>
      </w:r>
    </w:p>
    <w:p w14:paraId="4C30E3F6" w14:textId="77777777" w:rsidR="00DC4A38" w:rsidRPr="00775094" w:rsidRDefault="00DC4A38" w:rsidP="00DC4A38">
      <w:pPr>
        <w:jc w:val="both"/>
        <w:rPr>
          <w:b/>
        </w:rPr>
      </w:pPr>
      <w:r>
        <w:rPr>
          <w:b/>
        </w:rPr>
        <w:t>Proposal 3: The block structure can be configured via a higher layer signaling.</w:t>
      </w:r>
    </w:p>
    <w:p w14:paraId="43E48D6E" w14:textId="77777777" w:rsidR="00DC4A38" w:rsidRPr="00A95E16" w:rsidRDefault="00DC4A38" w:rsidP="00DC4A38">
      <w:pPr>
        <w:jc w:val="both"/>
        <w:rPr>
          <w:b/>
          <w:lang w:val="en-GB"/>
        </w:rPr>
      </w:pPr>
      <w:r>
        <w:rPr>
          <w:b/>
          <w:lang w:val="en-GB"/>
        </w:rPr>
        <w:t>Proposal 4</w:t>
      </w:r>
      <w:r w:rsidRPr="006034B0">
        <w:rPr>
          <w:b/>
          <w:lang w:val="en-GB"/>
        </w:rPr>
        <w:t>: To efficiently support simultaneous legacy and low latency transmissions, information indicating the legacy resource usage within the subframe can be a combination of a dynamic PDCCH transmission with a preconfigured periodicity and a semi-static configuration. The low latency users can use this to rate match around these used legacy resources.</w:t>
      </w:r>
    </w:p>
    <w:p w14:paraId="22AF0FEC" w14:textId="77777777" w:rsidR="00093618" w:rsidRPr="00093618" w:rsidRDefault="00093618" w:rsidP="00093618">
      <w:pPr>
        <w:rPr>
          <w:b/>
          <w:lang w:val="en-GB"/>
        </w:rPr>
      </w:pPr>
      <w:r>
        <w:rPr>
          <w:b/>
          <w:lang w:val="en-GB"/>
        </w:rPr>
        <w:lastRenderedPageBreak/>
        <w:t>Proposal 5</w:t>
      </w:r>
      <w:r w:rsidRPr="00093618">
        <w:rPr>
          <w:b/>
          <w:lang w:val="en-GB"/>
        </w:rPr>
        <w:t>: For TBS sizing of the 2 symbol and 1 slot sTTIs the number of PRBs used to index the TBS block size table is determined by a floored scaling operation by a factor of 1/6 or 1/12 for the 2-symbol sTTI and a factor of ½ for the 1 slot sTTI case, on the allocation PRB size of the sTTI.</w:t>
      </w:r>
    </w:p>
    <w:p w14:paraId="096F8B45" w14:textId="77777777" w:rsidR="002F0A26" w:rsidRPr="008F3A8D" w:rsidRDefault="002F0A26" w:rsidP="002F0A26">
      <w:pPr>
        <w:jc w:val="both"/>
        <w:rPr>
          <w:b/>
          <w:lang w:val="en-GB"/>
        </w:rPr>
      </w:pPr>
      <w:r w:rsidRPr="008F3A8D">
        <w:rPr>
          <w:b/>
          <w:lang w:val="en-GB"/>
        </w:rPr>
        <w:t xml:space="preserve">Proposal 6: </w:t>
      </w:r>
      <w:r>
        <w:rPr>
          <w:b/>
          <w:lang w:val="en-GB"/>
        </w:rPr>
        <w:t>Support</w:t>
      </w:r>
      <w:r w:rsidRPr="008F3A8D">
        <w:rPr>
          <w:b/>
          <w:lang w:val="en-GB"/>
        </w:rPr>
        <w:t xml:space="preserve"> only 1 CW per CC under the sTTI operation.</w:t>
      </w:r>
    </w:p>
    <w:p w14:paraId="0117461B" w14:textId="1189983E" w:rsidR="00C77113" w:rsidRPr="00553FCF" w:rsidRDefault="00DE736E" w:rsidP="00553FCF">
      <w:pPr>
        <w:jc w:val="both"/>
        <w:rPr>
          <w:b/>
          <w:lang w:val="en-GB"/>
        </w:rPr>
      </w:pPr>
      <w:r>
        <w:rPr>
          <w:b/>
          <w:lang w:val="en-GB"/>
        </w:rPr>
        <w:t>Proposal 7: The maximum number of layers can be set to 4 under both CRS-based and DMRS-based sPDSCHs.</w:t>
      </w:r>
    </w:p>
    <w:sectPr w:rsidR="00C77113" w:rsidRPr="00553FCF"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39DCB" w14:textId="77777777" w:rsidR="00DA59CE" w:rsidRDefault="00DA59CE">
      <w:r>
        <w:separator/>
      </w:r>
    </w:p>
  </w:endnote>
  <w:endnote w:type="continuationSeparator" w:id="0">
    <w:p w14:paraId="7548302F" w14:textId="77777777" w:rsidR="00DA59CE" w:rsidRDefault="00DA59CE">
      <w:r>
        <w:continuationSeparator/>
      </w:r>
    </w:p>
  </w:endnote>
  <w:endnote w:type="continuationNotice" w:id="1">
    <w:p w14:paraId="1C7280B8" w14:textId="77777777" w:rsidR="00DA59CE" w:rsidRDefault="00DA5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A7AD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7ADD">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27AF8" w14:textId="77777777" w:rsidR="00DA59CE" w:rsidRDefault="00DA59CE">
      <w:r>
        <w:separator/>
      </w:r>
    </w:p>
  </w:footnote>
  <w:footnote w:type="continuationSeparator" w:id="0">
    <w:p w14:paraId="64849334" w14:textId="77777777" w:rsidR="00DA59CE" w:rsidRDefault="00DA59CE">
      <w:r>
        <w:continuationSeparator/>
      </w:r>
    </w:p>
  </w:footnote>
  <w:footnote w:type="continuationNotice" w:id="1">
    <w:p w14:paraId="7B9636FD" w14:textId="77777777" w:rsidR="00DA59CE" w:rsidRDefault="00DA59C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2F4"/>
      </v:shape>
    </w:pict>
  </w:numPicBullet>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30D4"/>
    <w:multiLevelType w:val="hybridMultilevel"/>
    <w:tmpl w:val="8012B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E317C"/>
    <w:multiLevelType w:val="hybridMultilevel"/>
    <w:tmpl w:val="C45A5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1BA"/>
    <w:multiLevelType w:val="hybridMultilevel"/>
    <w:tmpl w:val="1B36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11F3C"/>
    <w:multiLevelType w:val="hybridMultilevel"/>
    <w:tmpl w:val="DA3E2ACE"/>
    <w:lvl w:ilvl="0" w:tplc="A81A6AA2">
      <w:start w:val="1"/>
      <w:numFmt w:val="bullet"/>
      <w:lvlText w:val=""/>
      <w:lvlPicBulletId w:val="0"/>
      <w:lvlJc w:val="left"/>
      <w:pPr>
        <w:tabs>
          <w:tab w:val="num" w:pos="720"/>
        </w:tabs>
        <w:ind w:left="720" w:hanging="360"/>
      </w:pPr>
      <w:rPr>
        <w:rFonts w:ascii="Symbol" w:hAnsi="Symbol" w:hint="default"/>
      </w:rPr>
    </w:lvl>
    <w:lvl w:ilvl="1" w:tplc="30B268D2">
      <w:start w:val="39"/>
      <w:numFmt w:val="bullet"/>
      <w:lvlText w:val="−"/>
      <w:lvlJc w:val="left"/>
      <w:pPr>
        <w:tabs>
          <w:tab w:val="num" w:pos="1440"/>
        </w:tabs>
        <w:ind w:left="1440" w:hanging="360"/>
      </w:pPr>
      <w:rPr>
        <w:rFonts w:ascii="Calibre Regular" w:hAnsi="Calibre Regular" w:hint="default"/>
      </w:rPr>
    </w:lvl>
    <w:lvl w:ilvl="2" w:tplc="9942E634">
      <w:start w:val="39"/>
      <w:numFmt w:val="bullet"/>
      <w:lvlText w:val="−"/>
      <w:lvlJc w:val="left"/>
      <w:pPr>
        <w:tabs>
          <w:tab w:val="num" w:pos="2160"/>
        </w:tabs>
        <w:ind w:left="2160" w:hanging="360"/>
      </w:pPr>
      <w:rPr>
        <w:rFonts w:ascii="Calibre Regular" w:hAnsi="Calibre Regular" w:hint="default"/>
      </w:rPr>
    </w:lvl>
    <w:lvl w:ilvl="3" w:tplc="15AEF0D4" w:tentative="1">
      <w:start w:val="1"/>
      <w:numFmt w:val="bullet"/>
      <w:lvlText w:val=""/>
      <w:lvlPicBulletId w:val="0"/>
      <w:lvlJc w:val="left"/>
      <w:pPr>
        <w:tabs>
          <w:tab w:val="num" w:pos="2880"/>
        </w:tabs>
        <w:ind w:left="2880" w:hanging="360"/>
      </w:pPr>
      <w:rPr>
        <w:rFonts w:ascii="Symbol" w:hAnsi="Symbol" w:hint="default"/>
      </w:rPr>
    </w:lvl>
    <w:lvl w:ilvl="4" w:tplc="A2949992" w:tentative="1">
      <w:start w:val="1"/>
      <w:numFmt w:val="bullet"/>
      <w:lvlText w:val=""/>
      <w:lvlPicBulletId w:val="0"/>
      <w:lvlJc w:val="left"/>
      <w:pPr>
        <w:tabs>
          <w:tab w:val="num" w:pos="3600"/>
        </w:tabs>
        <w:ind w:left="3600" w:hanging="360"/>
      </w:pPr>
      <w:rPr>
        <w:rFonts w:ascii="Symbol" w:hAnsi="Symbol" w:hint="default"/>
      </w:rPr>
    </w:lvl>
    <w:lvl w:ilvl="5" w:tplc="E42E44AA" w:tentative="1">
      <w:start w:val="1"/>
      <w:numFmt w:val="bullet"/>
      <w:lvlText w:val=""/>
      <w:lvlPicBulletId w:val="0"/>
      <w:lvlJc w:val="left"/>
      <w:pPr>
        <w:tabs>
          <w:tab w:val="num" w:pos="4320"/>
        </w:tabs>
        <w:ind w:left="4320" w:hanging="360"/>
      </w:pPr>
      <w:rPr>
        <w:rFonts w:ascii="Symbol" w:hAnsi="Symbol" w:hint="default"/>
      </w:rPr>
    </w:lvl>
    <w:lvl w:ilvl="6" w:tplc="C324F8FA" w:tentative="1">
      <w:start w:val="1"/>
      <w:numFmt w:val="bullet"/>
      <w:lvlText w:val=""/>
      <w:lvlPicBulletId w:val="0"/>
      <w:lvlJc w:val="left"/>
      <w:pPr>
        <w:tabs>
          <w:tab w:val="num" w:pos="5040"/>
        </w:tabs>
        <w:ind w:left="5040" w:hanging="360"/>
      </w:pPr>
      <w:rPr>
        <w:rFonts w:ascii="Symbol" w:hAnsi="Symbol" w:hint="default"/>
      </w:rPr>
    </w:lvl>
    <w:lvl w:ilvl="7" w:tplc="18AAA3C2" w:tentative="1">
      <w:start w:val="1"/>
      <w:numFmt w:val="bullet"/>
      <w:lvlText w:val=""/>
      <w:lvlPicBulletId w:val="0"/>
      <w:lvlJc w:val="left"/>
      <w:pPr>
        <w:tabs>
          <w:tab w:val="num" w:pos="5760"/>
        </w:tabs>
        <w:ind w:left="5760" w:hanging="360"/>
      </w:pPr>
      <w:rPr>
        <w:rFonts w:ascii="Symbol" w:hAnsi="Symbol" w:hint="default"/>
      </w:rPr>
    </w:lvl>
    <w:lvl w:ilvl="8" w:tplc="BEA082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D405E"/>
    <w:multiLevelType w:val="hybridMultilevel"/>
    <w:tmpl w:val="23AE359A"/>
    <w:lvl w:ilvl="0" w:tplc="BAC6D5D8">
      <w:start w:val="1"/>
      <w:numFmt w:val="bullet"/>
      <w:lvlText w:val="−"/>
      <w:lvlJc w:val="left"/>
      <w:pPr>
        <w:tabs>
          <w:tab w:val="num" w:pos="360"/>
        </w:tabs>
        <w:ind w:left="360" w:hanging="360"/>
      </w:pPr>
      <w:rPr>
        <w:rFonts w:ascii="Calibre Regular" w:hAnsi="Calibre Regular" w:hint="default"/>
      </w:rPr>
    </w:lvl>
    <w:lvl w:ilvl="1" w:tplc="769CAE34">
      <w:start w:val="1"/>
      <w:numFmt w:val="bullet"/>
      <w:lvlText w:val="−"/>
      <w:lvlJc w:val="left"/>
      <w:pPr>
        <w:tabs>
          <w:tab w:val="num" w:pos="1080"/>
        </w:tabs>
        <w:ind w:left="1080" w:hanging="360"/>
      </w:pPr>
      <w:rPr>
        <w:rFonts w:ascii="Calibre Regular" w:hAnsi="Calibre Regular" w:hint="default"/>
      </w:rPr>
    </w:lvl>
    <w:lvl w:ilvl="2" w:tplc="91A84C1A" w:tentative="1">
      <w:start w:val="1"/>
      <w:numFmt w:val="bullet"/>
      <w:lvlText w:val="−"/>
      <w:lvlJc w:val="left"/>
      <w:pPr>
        <w:tabs>
          <w:tab w:val="num" w:pos="1800"/>
        </w:tabs>
        <w:ind w:left="1800" w:hanging="360"/>
      </w:pPr>
      <w:rPr>
        <w:rFonts w:ascii="Calibre Regular" w:hAnsi="Calibre Regular" w:hint="default"/>
      </w:rPr>
    </w:lvl>
    <w:lvl w:ilvl="3" w:tplc="EE40AE26" w:tentative="1">
      <w:start w:val="1"/>
      <w:numFmt w:val="bullet"/>
      <w:lvlText w:val="−"/>
      <w:lvlJc w:val="left"/>
      <w:pPr>
        <w:tabs>
          <w:tab w:val="num" w:pos="2520"/>
        </w:tabs>
        <w:ind w:left="2520" w:hanging="360"/>
      </w:pPr>
      <w:rPr>
        <w:rFonts w:ascii="Calibre Regular" w:hAnsi="Calibre Regular" w:hint="default"/>
      </w:rPr>
    </w:lvl>
    <w:lvl w:ilvl="4" w:tplc="775EC060" w:tentative="1">
      <w:start w:val="1"/>
      <w:numFmt w:val="bullet"/>
      <w:lvlText w:val="−"/>
      <w:lvlJc w:val="left"/>
      <w:pPr>
        <w:tabs>
          <w:tab w:val="num" w:pos="3240"/>
        </w:tabs>
        <w:ind w:left="3240" w:hanging="360"/>
      </w:pPr>
      <w:rPr>
        <w:rFonts w:ascii="Calibre Regular" w:hAnsi="Calibre Regular" w:hint="default"/>
      </w:rPr>
    </w:lvl>
    <w:lvl w:ilvl="5" w:tplc="A2449610" w:tentative="1">
      <w:start w:val="1"/>
      <w:numFmt w:val="bullet"/>
      <w:lvlText w:val="−"/>
      <w:lvlJc w:val="left"/>
      <w:pPr>
        <w:tabs>
          <w:tab w:val="num" w:pos="3960"/>
        </w:tabs>
        <w:ind w:left="3960" w:hanging="360"/>
      </w:pPr>
      <w:rPr>
        <w:rFonts w:ascii="Calibre Regular" w:hAnsi="Calibre Regular" w:hint="default"/>
      </w:rPr>
    </w:lvl>
    <w:lvl w:ilvl="6" w:tplc="5DA4C6A4" w:tentative="1">
      <w:start w:val="1"/>
      <w:numFmt w:val="bullet"/>
      <w:lvlText w:val="−"/>
      <w:lvlJc w:val="left"/>
      <w:pPr>
        <w:tabs>
          <w:tab w:val="num" w:pos="4680"/>
        </w:tabs>
        <w:ind w:left="4680" w:hanging="360"/>
      </w:pPr>
      <w:rPr>
        <w:rFonts w:ascii="Calibre Regular" w:hAnsi="Calibre Regular" w:hint="default"/>
      </w:rPr>
    </w:lvl>
    <w:lvl w:ilvl="7" w:tplc="1AAE0194" w:tentative="1">
      <w:start w:val="1"/>
      <w:numFmt w:val="bullet"/>
      <w:lvlText w:val="−"/>
      <w:lvlJc w:val="left"/>
      <w:pPr>
        <w:tabs>
          <w:tab w:val="num" w:pos="5400"/>
        </w:tabs>
        <w:ind w:left="5400" w:hanging="360"/>
      </w:pPr>
      <w:rPr>
        <w:rFonts w:ascii="Calibre Regular" w:hAnsi="Calibre Regular" w:hint="default"/>
      </w:rPr>
    </w:lvl>
    <w:lvl w:ilvl="8" w:tplc="E4E23ABA" w:tentative="1">
      <w:start w:val="1"/>
      <w:numFmt w:val="bullet"/>
      <w:lvlText w:val="−"/>
      <w:lvlJc w:val="left"/>
      <w:pPr>
        <w:tabs>
          <w:tab w:val="num" w:pos="6120"/>
        </w:tabs>
        <w:ind w:left="6120" w:hanging="360"/>
      </w:pPr>
      <w:rPr>
        <w:rFonts w:ascii="Calibre Regular" w:hAnsi="Calibre Regular" w:hint="default"/>
      </w:rPr>
    </w:lvl>
  </w:abstractNum>
  <w:abstractNum w:abstractNumId="10"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F78CF"/>
    <w:multiLevelType w:val="hybridMultilevel"/>
    <w:tmpl w:val="DDD0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451215"/>
    <w:multiLevelType w:val="hybridMultilevel"/>
    <w:tmpl w:val="462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007792"/>
    <w:multiLevelType w:val="hybridMultilevel"/>
    <w:tmpl w:val="B396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E3840"/>
    <w:multiLevelType w:val="multilevel"/>
    <w:tmpl w:val="BA469614"/>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2B601F8"/>
    <w:multiLevelType w:val="hybridMultilevel"/>
    <w:tmpl w:val="87DE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DB28EB"/>
    <w:multiLevelType w:val="hybridMultilevel"/>
    <w:tmpl w:val="B0AE716A"/>
    <w:lvl w:ilvl="0" w:tplc="0122CE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682327"/>
    <w:multiLevelType w:val="hybridMultilevel"/>
    <w:tmpl w:val="A43CFD82"/>
    <w:lvl w:ilvl="0" w:tplc="0AC474F4">
      <w:start w:val="1"/>
      <w:numFmt w:val="bullet"/>
      <w:lvlText w:val=""/>
      <w:lvlPicBulletId w:val="0"/>
      <w:lvlJc w:val="left"/>
      <w:pPr>
        <w:tabs>
          <w:tab w:val="num" w:pos="720"/>
        </w:tabs>
        <w:ind w:left="720" w:hanging="360"/>
      </w:pPr>
      <w:rPr>
        <w:rFonts w:ascii="Symbol" w:hAnsi="Symbol" w:hint="default"/>
      </w:rPr>
    </w:lvl>
    <w:lvl w:ilvl="1" w:tplc="2A30C4E4">
      <w:start w:val="39"/>
      <w:numFmt w:val="bullet"/>
      <w:lvlText w:val="−"/>
      <w:lvlJc w:val="left"/>
      <w:pPr>
        <w:tabs>
          <w:tab w:val="num" w:pos="1440"/>
        </w:tabs>
        <w:ind w:left="1440" w:hanging="360"/>
      </w:pPr>
      <w:rPr>
        <w:rFonts w:ascii="Calibre Regular" w:hAnsi="Calibre Regular" w:hint="default"/>
      </w:rPr>
    </w:lvl>
    <w:lvl w:ilvl="2" w:tplc="D36A1F52" w:tentative="1">
      <w:start w:val="1"/>
      <w:numFmt w:val="bullet"/>
      <w:lvlText w:val=""/>
      <w:lvlPicBulletId w:val="0"/>
      <w:lvlJc w:val="left"/>
      <w:pPr>
        <w:tabs>
          <w:tab w:val="num" w:pos="2160"/>
        </w:tabs>
        <w:ind w:left="2160" w:hanging="360"/>
      </w:pPr>
      <w:rPr>
        <w:rFonts w:ascii="Symbol" w:hAnsi="Symbol" w:hint="default"/>
      </w:rPr>
    </w:lvl>
    <w:lvl w:ilvl="3" w:tplc="DBC241D0" w:tentative="1">
      <w:start w:val="1"/>
      <w:numFmt w:val="bullet"/>
      <w:lvlText w:val=""/>
      <w:lvlPicBulletId w:val="0"/>
      <w:lvlJc w:val="left"/>
      <w:pPr>
        <w:tabs>
          <w:tab w:val="num" w:pos="2880"/>
        </w:tabs>
        <w:ind w:left="2880" w:hanging="360"/>
      </w:pPr>
      <w:rPr>
        <w:rFonts w:ascii="Symbol" w:hAnsi="Symbol" w:hint="default"/>
      </w:rPr>
    </w:lvl>
    <w:lvl w:ilvl="4" w:tplc="256635C6" w:tentative="1">
      <w:start w:val="1"/>
      <w:numFmt w:val="bullet"/>
      <w:lvlText w:val=""/>
      <w:lvlPicBulletId w:val="0"/>
      <w:lvlJc w:val="left"/>
      <w:pPr>
        <w:tabs>
          <w:tab w:val="num" w:pos="3600"/>
        </w:tabs>
        <w:ind w:left="3600" w:hanging="360"/>
      </w:pPr>
      <w:rPr>
        <w:rFonts w:ascii="Symbol" w:hAnsi="Symbol" w:hint="default"/>
      </w:rPr>
    </w:lvl>
    <w:lvl w:ilvl="5" w:tplc="3AF67A42" w:tentative="1">
      <w:start w:val="1"/>
      <w:numFmt w:val="bullet"/>
      <w:lvlText w:val=""/>
      <w:lvlPicBulletId w:val="0"/>
      <w:lvlJc w:val="left"/>
      <w:pPr>
        <w:tabs>
          <w:tab w:val="num" w:pos="4320"/>
        </w:tabs>
        <w:ind w:left="4320" w:hanging="360"/>
      </w:pPr>
      <w:rPr>
        <w:rFonts w:ascii="Symbol" w:hAnsi="Symbol" w:hint="default"/>
      </w:rPr>
    </w:lvl>
    <w:lvl w:ilvl="6" w:tplc="910A96D6" w:tentative="1">
      <w:start w:val="1"/>
      <w:numFmt w:val="bullet"/>
      <w:lvlText w:val=""/>
      <w:lvlPicBulletId w:val="0"/>
      <w:lvlJc w:val="left"/>
      <w:pPr>
        <w:tabs>
          <w:tab w:val="num" w:pos="5040"/>
        </w:tabs>
        <w:ind w:left="5040" w:hanging="360"/>
      </w:pPr>
      <w:rPr>
        <w:rFonts w:ascii="Symbol" w:hAnsi="Symbol" w:hint="default"/>
      </w:rPr>
    </w:lvl>
    <w:lvl w:ilvl="7" w:tplc="1318BC84" w:tentative="1">
      <w:start w:val="1"/>
      <w:numFmt w:val="bullet"/>
      <w:lvlText w:val=""/>
      <w:lvlPicBulletId w:val="0"/>
      <w:lvlJc w:val="left"/>
      <w:pPr>
        <w:tabs>
          <w:tab w:val="num" w:pos="5760"/>
        </w:tabs>
        <w:ind w:left="5760" w:hanging="360"/>
      </w:pPr>
      <w:rPr>
        <w:rFonts w:ascii="Symbol" w:hAnsi="Symbol" w:hint="default"/>
      </w:rPr>
    </w:lvl>
    <w:lvl w:ilvl="8" w:tplc="89002C7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ADA56D8"/>
    <w:multiLevelType w:val="hybridMultilevel"/>
    <w:tmpl w:val="79FC5F64"/>
    <w:lvl w:ilvl="0" w:tplc="C73A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C703BC"/>
    <w:multiLevelType w:val="hybridMultilevel"/>
    <w:tmpl w:val="C1B61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BA04D1"/>
    <w:multiLevelType w:val="hybridMultilevel"/>
    <w:tmpl w:val="F9BE866C"/>
    <w:lvl w:ilvl="0" w:tplc="78861B70">
      <w:start w:val="1"/>
      <w:numFmt w:val="bullet"/>
      <w:lvlText w:val=""/>
      <w:lvlPicBulletId w:val="0"/>
      <w:lvlJc w:val="left"/>
      <w:pPr>
        <w:tabs>
          <w:tab w:val="num" w:pos="720"/>
        </w:tabs>
        <w:ind w:left="720" w:hanging="360"/>
      </w:pPr>
      <w:rPr>
        <w:rFonts w:ascii="Symbol" w:hAnsi="Symbol" w:hint="default"/>
      </w:rPr>
    </w:lvl>
    <w:lvl w:ilvl="1" w:tplc="E0BC06F4">
      <w:start w:val="39"/>
      <w:numFmt w:val="bullet"/>
      <w:lvlText w:val="−"/>
      <w:lvlJc w:val="left"/>
      <w:pPr>
        <w:tabs>
          <w:tab w:val="num" w:pos="1440"/>
        </w:tabs>
        <w:ind w:left="1440" w:hanging="360"/>
      </w:pPr>
      <w:rPr>
        <w:rFonts w:ascii="Calibre Regular" w:hAnsi="Calibre Regular" w:hint="default"/>
      </w:rPr>
    </w:lvl>
    <w:lvl w:ilvl="2" w:tplc="0A607F6C">
      <w:start w:val="39"/>
      <w:numFmt w:val="bullet"/>
      <w:lvlText w:val="−"/>
      <w:lvlJc w:val="left"/>
      <w:pPr>
        <w:tabs>
          <w:tab w:val="num" w:pos="2160"/>
        </w:tabs>
        <w:ind w:left="2160" w:hanging="360"/>
      </w:pPr>
      <w:rPr>
        <w:rFonts w:ascii="Calibre Regular" w:hAnsi="Calibre Regular" w:hint="default"/>
      </w:rPr>
    </w:lvl>
    <w:lvl w:ilvl="3" w:tplc="EB7448CE" w:tentative="1">
      <w:start w:val="1"/>
      <w:numFmt w:val="bullet"/>
      <w:lvlText w:val=""/>
      <w:lvlPicBulletId w:val="0"/>
      <w:lvlJc w:val="left"/>
      <w:pPr>
        <w:tabs>
          <w:tab w:val="num" w:pos="2880"/>
        </w:tabs>
        <w:ind w:left="2880" w:hanging="360"/>
      </w:pPr>
      <w:rPr>
        <w:rFonts w:ascii="Symbol" w:hAnsi="Symbol" w:hint="default"/>
      </w:rPr>
    </w:lvl>
    <w:lvl w:ilvl="4" w:tplc="55E8046E" w:tentative="1">
      <w:start w:val="1"/>
      <w:numFmt w:val="bullet"/>
      <w:lvlText w:val=""/>
      <w:lvlPicBulletId w:val="0"/>
      <w:lvlJc w:val="left"/>
      <w:pPr>
        <w:tabs>
          <w:tab w:val="num" w:pos="3600"/>
        </w:tabs>
        <w:ind w:left="3600" w:hanging="360"/>
      </w:pPr>
      <w:rPr>
        <w:rFonts w:ascii="Symbol" w:hAnsi="Symbol" w:hint="default"/>
      </w:rPr>
    </w:lvl>
    <w:lvl w:ilvl="5" w:tplc="45649BEE" w:tentative="1">
      <w:start w:val="1"/>
      <w:numFmt w:val="bullet"/>
      <w:lvlText w:val=""/>
      <w:lvlPicBulletId w:val="0"/>
      <w:lvlJc w:val="left"/>
      <w:pPr>
        <w:tabs>
          <w:tab w:val="num" w:pos="4320"/>
        </w:tabs>
        <w:ind w:left="4320" w:hanging="360"/>
      </w:pPr>
      <w:rPr>
        <w:rFonts w:ascii="Symbol" w:hAnsi="Symbol" w:hint="default"/>
      </w:rPr>
    </w:lvl>
    <w:lvl w:ilvl="6" w:tplc="864EE518" w:tentative="1">
      <w:start w:val="1"/>
      <w:numFmt w:val="bullet"/>
      <w:lvlText w:val=""/>
      <w:lvlPicBulletId w:val="0"/>
      <w:lvlJc w:val="left"/>
      <w:pPr>
        <w:tabs>
          <w:tab w:val="num" w:pos="5040"/>
        </w:tabs>
        <w:ind w:left="5040" w:hanging="360"/>
      </w:pPr>
      <w:rPr>
        <w:rFonts w:ascii="Symbol" w:hAnsi="Symbol" w:hint="default"/>
      </w:rPr>
    </w:lvl>
    <w:lvl w:ilvl="7" w:tplc="5BAE87EE" w:tentative="1">
      <w:start w:val="1"/>
      <w:numFmt w:val="bullet"/>
      <w:lvlText w:val=""/>
      <w:lvlPicBulletId w:val="0"/>
      <w:lvlJc w:val="left"/>
      <w:pPr>
        <w:tabs>
          <w:tab w:val="num" w:pos="5760"/>
        </w:tabs>
        <w:ind w:left="5760" w:hanging="360"/>
      </w:pPr>
      <w:rPr>
        <w:rFonts w:ascii="Symbol" w:hAnsi="Symbol" w:hint="default"/>
      </w:rPr>
    </w:lvl>
    <w:lvl w:ilvl="8" w:tplc="44D62EB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63463BCB"/>
    <w:multiLevelType w:val="hybridMultilevel"/>
    <w:tmpl w:val="1B247B9E"/>
    <w:lvl w:ilvl="0" w:tplc="F73AF2BE">
      <w:start w:val="1"/>
      <w:numFmt w:val="bullet"/>
      <w:lvlText w:val=""/>
      <w:lvlPicBulletId w:val="0"/>
      <w:lvlJc w:val="left"/>
      <w:pPr>
        <w:tabs>
          <w:tab w:val="num" w:pos="720"/>
        </w:tabs>
        <w:ind w:left="720" w:hanging="360"/>
      </w:pPr>
      <w:rPr>
        <w:rFonts w:ascii="Symbol" w:hAnsi="Symbol" w:hint="default"/>
      </w:rPr>
    </w:lvl>
    <w:lvl w:ilvl="1" w:tplc="22A8CCCE" w:tentative="1">
      <w:start w:val="1"/>
      <w:numFmt w:val="bullet"/>
      <w:lvlText w:val=""/>
      <w:lvlPicBulletId w:val="0"/>
      <w:lvlJc w:val="left"/>
      <w:pPr>
        <w:tabs>
          <w:tab w:val="num" w:pos="1440"/>
        </w:tabs>
        <w:ind w:left="1440" w:hanging="360"/>
      </w:pPr>
      <w:rPr>
        <w:rFonts w:ascii="Symbol" w:hAnsi="Symbol" w:hint="default"/>
      </w:rPr>
    </w:lvl>
    <w:lvl w:ilvl="2" w:tplc="714C0BDA" w:tentative="1">
      <w:start w:val="1"/>
      <w:numFmt w:val="bullet"/>
      <w:lvlText w:val=""/>
      <w:lvlPicBulletId w:val="0"/>
      <w:lvlJc w:val="left"/>
      <w:pPr>
        <w:tabs>
          <w:tab w:val="num" w:pos="2160"/>
        </w:tabs>
        <w:ind w:left="2160" w:hanging="360"/>
      </w:pPr>
      <w:rPr>
        <w:rFonts w:ascii="Symbol" w:hAnsi="Symbol" w:hint="default"/>
      </w:rPr>
    </w:lvl>
    <w:lvl w:ilvl="3" w:tplc="1702229E" w:tentative="1">
      <w:start w:val="1"/>
      <w:numFmt w:val="bullet"/>
      <w:lvlText w:val=""/>
      <w:lvlPicBulletId w:val="0"/>
      <w:lvlJc w:val="left"/>
      <w:pPr>
        <w:tabs>
          <w:tab w:val="num" w:pos="2880"/>
        </w:tabs>
        <w:ind w:left="2880" w:hanging="360"/>
      </w:pPr>
      <w:rPr>
        <w:rFonts w:ascii="Symbol" w:hAnsi="Symbol" w:hint="default"/>
      </w:rPr>
    </w:lvl>
    <w:lvl w:ilvl="4" w:tplc="7A80F7F2" w:tentative="1">
      <w:start w:val="1"/>
      <w:numFmt w:val="bullet"/>
      <w:lvlText w:val=""/>
      <w:lvlPicBulletId w:val="0"/>
      <w:lvlJc w:val="left"/>
      <w:pPr>
        <w:tabs>
          <w:tab w:val="num" w:pos="3600"/>
        </w:tabs>
        <w:ind w:left="3600" w:hanging="360"/>
      </w:pPr>
      <w:rPr>
        <w:rFonts w:ascii="Symbol" w:hAnsi="Symbol" w:hint="default"/>
      </w:rPr>
    </w:lvl>
    <w:lvl w:ilvl="5" w:tplc="90CC6A8C" w:tentative="1">
      <w:start w:val="1"/>
      <w:numFmt w:val="bullet"/>
      <w:lvlText w:val=""/>
      <w:lvlPicBulletId w:val="0"/>
      <w:lvlJc w:val="left"/>
      <w:pPr>
        <w:tabs>
          <w:tab w:val="num" w:pos="4320"/>
        </w:tabs>
        <w:ind w:left="4320" w:hanging="360"/>
      </w:pPr>
      <w:rPr>
        <w:rFonts w:ascii="Symbol" w:hAnsi="Symbol" w:hint="default"/>
      </w:rPr>
    </w:lvl>
    <w:lvl w:ilvl="6" w:tplc="0A9EC8B8" w:tentative="1">
      <w:start w:val="1"/>
      <w:numFmt w:val="bullet"/>
      <w:lvlText w:val=""/>
      <w:lvlPicBulletId w:val="0"/>
      <w:lvlJc w:val="left"/>
      <w:pPr>
        <w:tabs>
          <w:tab w:val="num" w:pos="5040"/>
        </w:tabs>
        <w:ind w:left="5040" w:hanging="360"/>
      </w:pPr>
      <w:rPr>
        <w:rFonts w:ascii="Symbol" w:hAnsi="Symbol" w:hint="default"/>
      </w:rPr>
    </w:lvl>
    <w:lvl w:ilvl="7" w:tplc="E87A499E" w:tentative="1">
      <w:start w:val="1"/>
      <w:numFmt w:val="bullet"/>
      <w:lvlText w:val=""/>
      <w:lvlPicBulletId w:val="0"/>
      <w:lvlJc w:val="left"/>
      <w:pPr>
        <w:tabs>
          <w:tab w:val="num" w:pos="5760"/>
        </w:tabs>
        <w:ind w:left="5760" w:hanging="360"/>
      </w:pPr>
      <w:rPr>
        <w:rFonts w:ascii="Symbol" w:hAnsi="Symbol" w:hint="default"/>
      </w:rPr>
    </w:lvl>
    <w:lvl w:ilvl="8" w:tplc="A67EDF04"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44909CE"/>
    <w:multiLevelType w:val="hybridMultilevel"/>
    <w:tmpl w:val="C520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CF1963"/>
    <w:multiLevelType w:val="hybridMultilevel"/>
    <w:tmpl w:val="38EAD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669CC"/>
    <w:multiLevelType w:val="hybridMultilevel"/>
    <w:tmpl w:val="F31A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6"/>
  </w:num>
  <w:num w:numId="3">
    <w:abstractNumId w:val="24"/>
  </w:num>
  <w:num w:numId="4">
    <w:abstractNumId w:val="5"/>
  </w:num>
  <w:num w:numId="5">
    <w:abstractNumId w:val="12"/>
  </w:num>
  <w:num w:numId="6">
    <w:abstractNumId w:val="39"/>
  </w:num>
  <w:num w:numId="7">
    <w:abstractNumId w:val="19"/>
  </w:num>
  <w:num w:numId="8">
    <w:abstractNumId w:val="20"/>
  </w:num>
  <w:num w:numId="9">
    <w:abstractNumId w:val="18"/>
  </w:num>
  <w:num w:numId="10">
    <w:abstractNumId w:val="30"/>
  </w:num>
  <w:num w:numId="11">
    <w:abstractNumId w:val="8"/>
  </w:num>
  <w:num w:numId="12">
    <w:abstractNumId w:val="13"/>
  </w:num>
  <w:num w:numId="13">
    <w:abstractNumId w:val="11"/>
  </w:num>
  <w:num w:numId="14">
    <w:abstractNumId w:val="10"/>
  </w:num>
  <w:num w:numId="15">
    <w:abstractNumId w:val="35"/>
  </w:num>
  <w:num w:numId="16">
    <w:abstractNumId w:val="43"/>
  </w:num>
  <w:num w:numId="17">
    <w:abstractNumId w:val="21"/>
  </w:num>
  <w:num w:numId="18">
    <w:abstractNumId w:val="32"/>
  </w:num>
  <w:num w:numId="19">
    <w:abstractNumId w:val="42"/>
  </w:num>
  <w:num w:numId="20">
    <w:abstractNumId w:val="26"/>
  </w:num>
  <w:num w:numId="21">
    <w:abstractNumId w:val="36"/>
  </w:num>
  <w:num w:numId="22">
    <w:abstractNumId w:val="40"/>
  </w:num>
  <w:num w:numId="23">
    <w:abstractNumId w:val="14"/>
  </w:num>
  <w:num w:numId="24">
    <w:abstractNumId w:val="23"/>
  </w:num>
  <w:num w:numId="25">
    <w:abstractNumId w:val="4"/>
  </w:num>
  <w:num w:numId="26">
    <w:abstractNumId w:val="38"/>
  </w:num>
  <w:num w:numId="27">
    <w:abstractNumId w:val="15"/>
  </w:num>
  <w:num w:numId="28">
    <w:abstractNumId w:val="37"/>
  </w:num>
  <w:num w:numId="29">
    <w:abstractNumId w:val="41"/>
  </w:num>
  <w:num w:numId="30">
    <w:abstractNumId w:val="3"/>
  </w:num>
  <w:num w:numId="31">
    <w:abstractNumId w:val="16"/>
  </w:num>
  <w:num w:numId="32">
    <w:abstractNumId w:val="1"/>
  </w:num>
  <w:num w:numId="33">
    <w:abstractNumId w:val="29"/>
  </w:num>
  <w:num w:numId="34">
    <w:abstractNumId w:val="27"/>
  </w:num>
  <w:num w:numId="35">
    <w:abstractNumId w:val="31"/>
  </w:num>
  <w:num w:numId="36">
    <w:abstractNumId w:val="0"/>
  </w:num>
  <w:num w:numId="37">
    <w:abstractNumId w:val="9"/>
  </w:num>
  <w:num w:numId="38">
    <w:abstractNumId w:val="28"/>
  </w:num>
  <w:num w:numId="39">
    <w:abstractNumId w:val="22"/>
  </w:num>
  <w:num w:numId="40">
    <w:abstractNumId w:val="34"/>
  </w:num>
  <w:num w:numId="41">
    <w:abstractNumId w:val="7"/>
  </w:num>
  <w:num w:numId="42">
    <w:abstractNumId w:val="33"/>
  </w:num>
  <w:num w:numId="43">
    <w:abstractNumId w:val="2"/>
  </w:num>
  <w:num w:numId="44">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618"/>
    <w:rsid w:val="00094EF2"/>
    <w:rsid w:val="00095489"/>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035"/>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47FFC"/>
    <w:rsid w:val="0015019F"/>
    <w:rsid w:val="00151516"/>
    <w:rsid w:val="00151805"/>
    <w:rsid w:val="00151D5F"/>
    <w:rsid w:val="001529E0"/>
    <w:rsid w:val="00152BA8"/>
    <w:rsid w:val="00153A6B"/>
    <w:rsid w:val="00153E38"/>
    <w:rsid w:val="001544AB"/>
    <w:rsid w:val="0015452C"/>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262"/>
    <w:rsid w:val="00162BD5"/>
    <w:rsid w:val="001630E4"/>
    <w:rsid w:val="001639BC"/>
    <w:rsid w:val="0016465B"/>
    <w:rsid w:val="001647FA"/>
    <w:rsid w:val="00166868"/>
    <w:rsid w:val="001669CF"/>
    <w:rsid w:val="00167857"/>
    <w:rsid w:val="00167C50"/>
    <w:rsid w:val="00171FD2"/>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3F0E"/>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64A"/>
    <w:rsid w:val="00296FD8"/>
    <w:rsid w:val="0029743A"/>
    <w:rsid w:val="00297DBE"/>
    <w:rsid w:val="002A0724"/>
    <w:rsid w:val="002A07C1"/>
    <w:rsid w:val="002A08EC"/>
    <w:rsid w:val="002A1642"/>
    <w:rsid w:val="002A1DF0"/>
    <w:rsid w:val="002A205B"/>
    <w:rsid w:val="002A3511"/>
    <w:rsid w:val="002A3668"/>
    <w:rsid w:val="002A53DF"/>
    <w:rsid w:val="002B03CD"/>
    <w:rsid w:val="002B07BF"/>
    <w:rsid w:val="002B0805"/>
    <w:rsid w:val="002B09B2"/>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442"/>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8F5"/>
    <w:rsid w:val="002E6C03"/>
    <w:rsid w:val="002F0045"/>
    <w:rsid w:val="002F025B"/>
    <w:rsid w:val="002F0A26"/>
    <w:rsid w:val="002F1E03"/>
    <w:rsid w:val="002F2AE0"/>
    <w:rsid w:val="002F2FB7"/>
    <w:rsid w:val="002F3827"/>
    <w:rsid w:val="002F413F"/>
    <w:rsid w:val="002F44AD"/>
    <w:rsid w:val="002F45D3"/>
    <w:rsid w:val="002F48EE"/>
    <w:rsid w:val="002F53C6"/>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64DE"/>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1D7D"/>
    <w:rsid w:val="003D2339"/>
    <w:rsid w:val="003D26AA"/>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20E3"/>
    <w:rsid w:val="00482F21"/>
    <w:rsid w:val="00483D11"/>
    <w:rsid w:val="00483D84"/>
    <w:rsid w:val="00483FB8"/>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FCF"/>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38D"/>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0EB9"/>
    <w:rsid w:val="005E1F47"/>
    <w:rsid w:val="005E260D"/>
    <w:rsid w:val="005E35FD"/>
    <w:rsid w:val="005E383F"/>
    <w:rsid w:val="005E5220"/>
    <w:rsid w:val="005E7698"/>
    <w:rsid w:val="005E77D7"/>
    <w:rsid w:val="005E7A94"/>
    <w:rsid w:val="005E7CAF"/>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4B0"/>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A2F"/>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5EA8"/>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0F5"/>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A8D"/>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7CFD"/>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2C4B"/>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928"/>
    <w:rsid w:val="009E732A"/>
    <w:rsid w:val="009E73D9"/>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68E"/>
    <w:rsid w:val="00A348AD"/>
    <w:rsid w:val="00A34AB8"/>
    <w:rsid w:val="00A3533F"/>
    <w:rsid w:val="00A3673E"/>
    <w:rsid w:val="00A36A51"/>
    <w:rsid w:val="00A37165"/>
    <w:rsid w:val="00A402CC"/>
    <w:rsid w:val="00A402D3"/>
    <w:rsid w:val="00A42777"/>
    <w:rsid w:val="00A43201"/>
    <w:rsid w:val="00A4329C"/>
    <w:rsid w:val="00A4339C"/>
    <w:rsid w:val="00A436C2"/>
    <w:rsid w:val="00A449D2"/>
    <w:rsid w:val="00A44E28"/>
    <w:rsid w:val="00A451F4"/>
    <w:rsid w:val="00A4528E"/>
    <w:rsid w:val="00A4570E"/>
    <w:rsid w:val="00A4648A"/>
    <w:rsid w:val="00A46B10"/>
    <w:rsid w:val="00A46FAD"/>
    <w:rsid w:val="00A472DB"/>
    <w:rsid w:val="00A5044D"/>
    <w:rsid w:val="00A50726"/>
    <w:rsid w:val="00A50B00"/>
    <w:rsid w:val="00A50E51"/>
    <w:rsid w:val="00A514EB"/>
    <w:rsid w:val="00A518FF"/>
    <w:rsid w:val="00A521E0"/>
    <w:rsid w:val="00A52BE9"/>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6C"/>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D90"/>
    <w:rsid w:val="00B52A20"/>
    <w:rsid w:val="00B52D01"/>
    <w:rsid w:val="00B5470C"/>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31BF"/>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47C"/>
    <w:rsid w:val="00BA659A"/>
    <w:rsid w:val="00BA68C1"/>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4C34"/>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68D9"/>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C71"/>
    <w:rsid w:val="00C82D09"/>
    <w:rsid w:val="00C82E5F"/>
    <w:rsid w:val="00C83234"/>
    <w:rsid w:val="00C8338A"/>
    <w:rsid w:val="00C84103"/>
    <w:rsid w:val="00C8567F"/>
    <w:rsid w:val="00C8572A"/>
    <w:rsid w:val="00C85BCA"/>
    <w:rsid w:val="00C8650D"/>
    <w:rsid w:val="00C8781D"/>
    <w:rsid w:val="00C8794B"/>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904"/>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7A5"/>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1307"/>
    <w:rsid w:val="00D820F3"/>
    <w:rsid w:val="00D822CA"/>
    <w:rsid w:val="00D84268"/>
    <w:rsid w:val="00D84515"/>
    <w:rsid w:val="00D84824"/>
    <w:rsid w:val="00D84F73"/>
    <w:rsid w:val="00D8666C"/>
    <w:rsid w:val="00D86B3B"/>
    <w:rsid w:val="00D876BB"/>
    <w:rsid w:val="00D8778A"/>
    <w:rsid w:val="00D87E48"/>
    <w:rsid w:val="00D90348"/>
    <w:rsid w:val="00D90446"/>
    <w:rsid w:val="00D90D31"/>
    <w:rsid w:val="00D9120D"/>
    <w:rsid w:val="00D912DF"/>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7458"/>
    <w:rsid w:val="00DA019E"/>
    <w:rsid w:val="00DA0590"/>
    <w:rsid w:val="00DA0F8E"/>
    <w:rsid w:val="00DA0FC0"/>
    <w:rsid w:val="00DA1176"/>
    <w:rsid w:val="00DA12A3"/>
    <w:rsid w:val="00DA1985"/>
    <w:rsid w:val="00DA1D80"/>
    <w:rsid w:val="00DA2046"/>
    <w:rsid w:val="00DA2BCC"/>
    <w:rsid w:val="00DA30FB"/>
    <w:rsid w:val="00DA3F00"/>
    <w:rsid w:val="00DA59CE"/>
    <w:rsid w:val="00DA631B"/>
    <w:rsid w:val="00DA6B8E"/>
    <w:rsid w:val="00DA7074"/>
    <w:rsid w:val="00DA727D"/>
    <w:rsid w:val="00DA773F"/>
    <w:rsid w:val="00DA7BC7"/>
    <w:rsid w:val="00DB0564"/>
    <w:rsid w:val="00DB0DF2"/>
    <w:rsid w:val="00DB1539"/>
    <w:rsid w:val="00DB2014"/>
    <w:rsid w:val="00DB21E6"/>
    <w:rsid w:val="00DB220E"/>
    <w:rsid w:val="00DB2369"/>
    <w:rsid w:val="00DB2559"/>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A38"/>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36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32C3"/>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1FD"/>
    <w:rsid w:val="00E73E01"/>
    <w:rsid w:val="00E745BF"/>
    <w:rsid w:val="00E74697"/>
    <w:rsid w:val="00E74F1D"/>
    <w:rsid w:val="00E758C0"/>
    <w:rsid w:val="00E758F4"/>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81"/>
    <w:rsid w:val="00E94C76"/>
    <w:rsid w:val="00E9572A"/>
    <w:rsid w:val="00E958C1"/>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730"/>
    <w:rsid w:val="00EA42BA"/>
    <w:rsid w:val="00EA4F96"/>
    <w:rsid w:val="00EA531A"/>
    <w:rsid w:val="00EA589B"/>
    <w:rsid w:val="00EA7035"/>
    <w:rsid w:val="00EA7499"/>
    <w:rsid w:val="00EA74E3"/>
    <w:rsid w:val="00EA7744"/>
    <w:rsid w:val="00EA7ADD"/>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22F2"/>
    <w:rsid w:val="00F14351"/>
    <w:rsid w:val="00F15744"/>
    <w:rsid w:val="00F15A4F"/>
    <w:rsid w:val="00F15B05"/>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708"/>
    <w:rsid w:val="00FB18E8"/>
    <w:rsid w:val="00FB1CBB"/>
    <w:rsid w:val="00FB22E5"/>
    <w:rsid w:val="00FB2312"/>
    <w:rsid w:val="00FB27DF"/>
    <w:rsid w:val="00FB2E86"/>
    <w:rsid w:val="00FB2F94"/>
    <w:rsid w:val="00FB35B8"/>
    <w:rsid w:val="00FB3CD6"/>
    <w:rsid w:val="00FB43D4"/>
    <w:rsid w:val="00FB46A4"/>
    <w:rsid w:val="00FB52FD"/>
    <w:rsid w:val="00FB5689"/>
    <w:rsid w:val="00FB578A"/>
    <w:rsid w:val="00FB5942"/>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C7B5A"/>
    <w:rsid w:val="00FD0386"/>
    <w:rsid w:val="00FD04EB"/>
    <w:rsid w:val="00FD10D2"/>
    <w:rsid w:val="00FD22B6"/>
    <w:rsid w:val="00FD2475"/>
    <w:rsid w:val="00FD25AA"/>
    <w:rsid w:val="00FD2751"/>
    <w:rsid w:val="00FD282A"/>
    <w:rsid w:val="00FD2A71"/>
    <w:rsid w:val="00FD3822"/>
    <w:rsid w:val="00FD3D6F"/>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17"/>
      </w:numPr>
      <w:jc w:val="both"/>
      <w:outlineLvl w:val="1"/>
    </w:pPr>
    <w:rPr>
      <w:lang w:val="en-GB"/>
    </w:rPr>
  </w:style>
  <w:style w:type="paragraph" w:styleId="Heading3">
    <w:name w:val="heading 3"/>
    <w:basedOn w:val="Heading2"/>
    <w:next w:val="Normal"/>
    <w:qFormat/>
    <w:rsid w:val="00155C4B"/>
    <w:pPr>
      <w:numPr>
        <w:numId w:val="15"/>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6533475">
      <w:bodyDiv w:val="1"/>
      <w:marLeft w:val="0"/>
      <w:marRight w:val="0"/>
      <w:marTop w:val="0"/>
      <w:marBottom w:val="0"/>
      <w:divBdr>
        <w:top w:val="none" w:sz="0" w:space="0" w:color="auto"/>
        <w:left w:val="none" w:sz="0" w:space="0" w:color="auto"/>
        <w:bottom w:val="none" w:sz="0" w:space="0" w:color="auto"/>
        <w:right w:val="none" w:sz="0" w:space="0" w:color="auto"/>
      </w:divBdr>
      <w:divsChild>
        <w:div w:id="1653018506">
          <w:marLeft w:val="547"/>
          <w:marRight w:val="0"/>
          <w:marTop w:val="115"/>
          <w:marBottom w:val="0"/>
          <w:divBdr>
            <w:top w:val="none" w:sz="0" w:space="0" w:color="auto"/>
            <w:left w:val="none" w:sz="0" w:space="0" w:color="auto"/>
            <w:bottom w:val="none" w:sz="0" w:space="0" w:color="auto"/>
            <w:right w:val="none" w:sz="0" w:space="0" w:color="auto"/>
          </w:divBdr>
        </w:div>
        <w:div w:id="1337074805">
          <w:marLeft w:val="1166"/>
          <w:marRight w:val="0"/>
          <w:marTop w:val="96"/>
          <w:marBottom w:val="0"/>
          <w:divBdr>
            <w:top w:val="none" w:sz="0" w:space="0" w:color="auto"/>
            <w:left w:val="none" w:sz="0" w:space="0" w:color="auto"/>
            <w:bottom w:val="none" w:sz="0" w:space="0" w:color="auto"/>
            <w:right w:val="none" w:sz="0" w:space="0" w:color="auto"/>
          </w:divBdr>
        </w:div>
        <w:div w:id="1079712134">
          <w:marLeft w:val="1166"/>
          <w:marRight w:val="0"/>
          <w:marTop w:val="96"/>
          <w:marBottom w:val="0"/>
          <w:divBdr>
            <w:top w:val="none" w:sz="0" w:space="0" w:color="auto"/>
            <w:left w:val="none" w:sz="0" w:space="0" w:color="auto"/>
            <w:bottom w:val="none" w:sz="0" w:space="0" w:color="auto"/>
            <w:right w:val="none" w:sz="0" w:space="0" w:color="auto"/>
          </w:divBdr>
        </w:div>
        <w:div w:id="1509636257">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434224">
      <w:bodyDiv w:val="1"/>
      <w:marLeft w:val="0"/>
      <w:marRight w:val="0"/>
      <w:marTop w:val="0"/>
      <w:marBottom w:val="0"/>
      <w:divBdr>
        <w:top w:val="none" w:sz="0" w:space="0" w:color="auto"/>
        <w:left w:val="none" w:sz="0" w:space="0" w:color="auto"/>
        <w:bottom w:val="none" w:sz="0" w:space="0" w:color="auto"/>
        <w:right w:val="none" w:sz="0" w:space="0" w:color="auto"/>
      </w:divBdr>
      <w:divsChild>
        <w:div w:id="1891914575">
          <w:marLeft w:val="547"/>
          <w:marRight w:val="0"/>
          <w:marTop w:val="96"/>
          <w:marBottom w:val="0"/>
          <w:divBdr>
            <w:top w:val="none" w:sz="0" w:space="0" w:color="auto"/>
            <w:left w:val="none" w:sz="0" w:space="0" w:color="auto"/>
            <w:bottom w:val="none" w:sz="0" w:space="0" w:color="auto"/>
            <w:right w:val="none" w:sz="0" w:space="0" w:color="auto"/>
          </w:divBdr>
        </w:div>
        <w:div w:id="1647585613">
          <w:marLeft w:val="547"/>
          <w:marRight w:val="0"/>
          <w:marTop w:val="96"/>
          <w:marBottom w:val="0"/>
          <w:divBdr>
            <w:top w:val="none" w:sz="0" w:space="0" w:color="auto"/>
            <w:left w:val="none" w:sz="0" w:space="0" w:color="auto"/>
            <w:bottom w:val="none" w:sz="0" w:space="0" w:color="auto"/>
            <w:right w:val="none" w:sz="0" w:space="0" w:color="auto"/>
          </w:divBdr>
        </w:div>
        <w:div w:id="395247844">
          <w:marLeft w:val="1166"/>
          <w:marRight w:val="0"/>
          <w:marTop w:val="82"/>
          <w:marBottom w:val="0"/>
          <w:divBdr>
            <w:top w:val="none" w:sz="0" w:space="0" w:color="auto"/>
            <w:left w:val="none" w:sz="0" w:space="0" w:color="auto"/>
            <w:bottom w:val="none" w:sz="0" w:space="0" w:color="auto"/>
            <w:right w:val="none" w:sz="0" w:space="0" w:color="auto"/>
          </w:divBdr>
        </w:div>
        <w:div w:id="1642005606">
          <w:marLeft w:val="1627"/>
          <w:marRight w:val="0"/>
          <w:marTop w:val="72"/>
          <w:marBottom w:val="0"/>
          <w:divBdr>
            <w:top w:val="none" w:sz="0" w:space="0" w:color="auto"/>
            <w:left w:val="none" w:sz="0" w:space="0" w:color="auto"/>
            <w:bottom w:val="none" w:sz="0" w:space="0" w:color="auto"/>
            <w:right w:val="none" w:sz="0" w:space="0" w:color="auto"/>
          </w:divBdr>
        </w:div>
        <w:div w:id="84688716">
          <w:marLeft w:val="1627"/>
          <w:marRight w:val="0"/>
          <w:marTop w:val="72"/>
          <w:marBottom w:val="0"/>
          <w:divBdr>
            <w:top w:val="none" w:sz="0" w:space="0" w:color="auto"/>
            <w:left w:val="none" w:sz="0" w:space="0" w:color="auto"/>
            <w:bottom w:val="none" w:sz="0" w:space="0" w:color="auto"/>
            <w:right w:val="none" w:sz="0" w:space="0" w:color="auto"/>
          </w:divBdr>
        </w:div>
        <w:div w:id="1139766199">
          <w:marLeft w:val="547"/>
          <w:marRight w:val="0"/>
          <w:marTop w:val="96"/>
          <w:marBottom w:val="0"/>
          <w:divBdr>
            <w:top w:val="none" w:sz="0" w:space="0" w:color="auto"/>
            <w:left w:val="none" w:sz="0" w:space="0" w:color="auto"/>
            <w:bottom w:val="none" w:sz="0" w:space="0" w:color="auto"/>
            <w:right w:val="none" w:sz="0" w:space="0" w:color="auto"/>
          </w:divBdr>
        </w:div>
        <w:div w:id="1231772222">
          <w:marLeft w:val="1166"/>
          <w:marRight w:val="0"/>
          <w:marTop w:val="82"/>
          <w:marBottom w:val="0"/>
          <w:divBdr>
            <w:top w:val="none" w:sz="0" w:space="0" w:color="auto"/>
            <w:left w:val="none" w:sz="0" w:space="0" w:color="auto"/>
            <w:bottom w:val="none" w:sz="0" w:space="0" w:color="auto"/>
            <w:right w:val="none" w:sz="0" w:space="0" w:color="auto"/>
          </w:divBdr>
        </w:div>
        <w:div w:id="1164051893">
          <w:marLeft w:val="1627"/>
          <w:marRight w:val="0"/>
          <w:marTop w:val="72"/>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HR33RHYHUWRF-4-1717</_dlc_DocId>
    <_dlc_DocIdUrl xmlns="c06861ca-3f08-4d07-bff7-bb15bac121f4">
      <Url>https://projects.qualcomm.com/sites/pentari/_layouts/15/DocIdRedir.aspx?ID=HR33RHYHUWRF-4-1717</Url>
      <Description>HR33RHYHUWRF-4-1717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E817744-6A20-42D1-AEAD-7BDB892F9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5304BD-7F4C-4140-B57A-0A4232B55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2027</Words>
  <Characters>11558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13558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Hosseini, Kianoush</cp:lastModifiedBy>
  <cp:revision>2</cp:revision>
  <cp:lastPrinted>2016-08-10T22:23:00Z</cp:lastPrinted>
  <dcterms:created xsi:type="dcterms:W3CDTF">2017-02-07T01:00:00Z</dcterms:created>
  <dcterms:modified xsi:type="dcterms:W3CDTF">2017-02-07T01:00:00Z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6f8a8f2a-a0d5-4e43-b47d-962e8f7a439c</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